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755A" w14:textId="77777777" w:rsidR="00E03831" w:rsidRPr="00E03831" w:rsidRDefault="00E03831" w:rsidP="00E03831">
      <w:pPr>
        <w:ind w:right="1060"/>
        <w:rPr>
          <w:rFonts w:asciiTheme="majorHAnsi" w:eastAsiaTheme="majorHAnsi" w:hAnsiTheme="majorHAnsi"/>
        </w:rPr>
      </w:pPr>
      <w:r w:rsidRPr="00E03831">
        <w:rPr>
          <w:rFonts w:asciiTheme="majorHAnsi" w:eastAsiaTheme="majorHAnsi" w:hAnsiTheme="majorHAnsi" w:hint="eastAsia"/>
        </w:rPr>
        <w:t>様式第２号（第</w:t>
      </w:r>
      <w:r w:rsidR="00430D14">
        <w:rPr>
          <w:rFonts w:asciiTheme="majorHAnsi" w:eastAsiaTheme="majorHAnsi" w:hAnsiTheme="majorHAnsi" w:hint="eastAsia"/>
        </w:rPr>
        <w:t>10</w:t>
      </w:r>
      <w:r w:rsidRPr="00E03831">
        <w:rPr>
          <w:rFonts w:asciiTheme="majorHAnsi" w:eastAsiaTheme="majorHAnsi" w:hAnsiTheme="majorHAnsi" w:hint="eastAsia"/>
        </w:rPr>
        <w:t>条関係）</w:t>
      </w:r>
    </w:p>
    <w:p w14:paraId="687ECCBE" w14:textId="5D5DE240" w:rsidR="00E03831" w:rsidRDefault="000E268D" w:rsidP="00E03831">
      <w:pPr>
        <w:wordWrap w:val="0"/>
        <w:jc w:val="right"/>
        <w:rPr>
          <w:rFonts w:asciiTheme="majorHAnsi" w:eastAsiaTheme="majorHAnsi" w:hAnsiTheme="majorHAnsi"/>
        </w:rPr>
      </w:pPr>
      <w:r>
        <w:rPr>
          <w:rFonts w:asciiTheme="majorHAnsi" w:eastAsiaTheme="majorHAnsi" w:hAnsiTheme="majorHAnsi" w:hint="eastAsia"/>
        </w:rPr>
        <w:t>令和8</w:t>
      </w:r>
      <w:r w:rsidR="00E03831" w:rsidRPr="00E03831">
        <w:rPr>
          <w:rFonts w:asciiTheme="majorHAnsi" w:eastAsiaTheme="majorHAnsi" w:hAnsiTheme="majorHAnsi" w:hint="eastAsia"/>
        </w:rPr>
        <w:t>年</w:t>
      </w:r>
      <w:r>
        <w:rPr>
          <w:rFonts w:asciiTheme="majorHAnsi" w:eastAsiaTheme="majorHAnsi" w:hAnsiTheme="majorHAnsi" w:hint="eastAsia"/>
        </w:rPr>
        <w:t>4</w:t>
      </w:r>
      <w:r w:rsidR="00E03831" w:rsidRPr="00E03831">
        <w:rPr>
          <w:rFonts w:asciiTheme="majorHAnsi" w:eastAsiaTheme="majorHAnsi" w:hAnsiTheme="majorHAnsi" w:hint="eastAsia"/>
        </w:rPr>
        <w:t>月</w:t>
      </w:r>
      <w:r>
        <w:rPr>
          <w:rFonts w:asciiTheme="majorHAnsi" w:eastAsiaTheme="majorHAnsi" w:hAnsiTheme="majorHAnsi" w:hint="eastAsia"/>
        </w:rPr>
        <w:t>20</w:t>
      </w:r>
      <w:r w:rsidR="00E03831" w:rsidRPr="00E03831">
        <w:rPr>
          <w:rFonts w:asciiTheme="majorHAnsi" w:eastAsiaTheme="majorHAnsi" w:hAnsiTheme="majorHAnsi" w:hint="eastAsia"/>
        </w:rPr>
        <w:t>日</w:t>
      </w:r>
    </w:p>
    <w:p w14:paraId="63818710" w14:textId="77777777" w:rsidR="00E03831" w:rsidRPr="00E03831" w:rsidRDefault="00E03831" w:rsidP="00E03831">
      <w:pPr>
        <w:jc w:val="right"/>
        <w:rPr>
          <w:rFonts w:asciiTheme="majorHAnsi" w:eastAsiaTheme="majorHAnsi" w:hAnsiTheme="majorHAnsi"/>
        </w:rPr>
      </w:pPr>
    </w:p>
    <w:p w14:paraId="7B275C2E" w14:textId="77777777" w:rsidR="00E03831" w:rsidRDefault="00430D14" w:rsidP="00E03831">
      <w:pPr>
        <w:jc w:val="center"/>
        <w:rPr>
          <w:rFonts w:eastAsiaTheme="minorHAnsi"/>
          <w:b/>
          <w:sz w:val="24"/>
        </w:rPr>
      </w:pPr>
      <w:r>
        <w:rPr>
          <w:rFonts w:eastAsiaTheme="minorHAnsi" w:hint="eastAsia"/>
          <w:b/>
          <w:sz w:val="24"/>
        </w:rPr>
        <w:t>自主的環境保全の取</w:t>
      </w:r>
      <w:r w:rsidR="00E03831" w:rsidRPr="00E03831">
        <w:rPr>
          <w:rFonts w:eastAsiaTheme="minorHAnsi" w:hint="eastAsia"/>
          <w:b/>
          <w:sz w:val="24"/>
        </w:rPr>
        <w:t>組み報告書</w:t>
      </w:r>
    </w:p>
    <w:p w14:paraId="30085C14" w14:textId="77777777" w:rsidR="00E03831" w:rsidRPr="00E03831" w:rsidRDefault="00E03831" w:rsidP="00E03831">
      <w:pPr>
        <w:jc w:val="center"/>
        <w:rPr>
          <w:rFonts w:eastAsiaTheme="minorHAnsi"/>
          <w:b/>
          <w:sz w:val="24"/>
        </w:rPr>
      </w:pPr>
    </w:p>
    <w:p w14:paraId="4BC13F69" w14:textId="0EEDEC52" w:rsidR="006539CF" w:rsidRPr="00E03831" w:rsidRDefault="006539CF" w:rsidP="008473E7">
      <w:pPr>
        <w:ind w:firstLineChars="1700" w:firstLine="4145"/>
        <w:rPr>
          <w:rFonts w:eastAsiaTheme="minorHAnsi"/>
          <w:u w:val="single"/>
        </w:rPr>
      </w:pPr>
      <w:r w:rsidRPr="00E03831">
        <w:rPr>
          <w:rFonts w:eastAsiaTheme="minorHAnsi" w:hint="eastAsia"/>
          <w:u w:val="single"/>
        </w:rPr>
        <w:t>（事業所名）</w:t>
      </w:r>
      <w:r w:rsidR="008473E7">
        <w:rPr>
          <w:rFonts w:eastAsiaTheme="minorHAnsi" w:hint="eastAsia"/>
          <w:u w:val="single"/>
        </w:rPr>
        <w:t>フルハシタイヤ販売株式会社</w:t>
      </w:r>
      <w:r w:rsidRPr="00E03831">
        <w:rPr>
          <w:rFonts w:eastAsiaTheme="minorHAnsi" w:hint="eastAsia"/>
          <w:u w:val="single"/>
        </w:rPr>
        <w:t xml:space="preserve">　　</w:t>
      </w:r>
    </w:p>
    <w:p w14:paraId="4FAA784F" w14:textId="77777777" w:rsidR="00E03831" w:rsidRDefault="00E03831" w:rsidP="00C815C7">
      <w:pPr>
        <w:ind w:right="1060"/>
        <w:rPr>
          <w:rFonts w:eastAsiaTheme="minorHAnsi"/>
        </w:rPr>
      </w:pPr>
    </w:p>
    <w:p w14:paraId="59D64E62" w14:textId="77777777" w:rsidR="00E03831" w:rsidRDefault="00E03831" w:rsidP="00E03831">
      <w:pPr>
        <w:ind w:right="1060"/>
        <w:rPr>
          <w:rFonts w:eastAsiaTheme="minorHAnsi"/>
        </w:rPr>
      </w:pPr>
      <w:r w:rsidRPr="00E03831">
        <w:rPr>
          <w:rFonts w:eastAsiaTheme="minorHAnsi" w:hint="eastAsia"/>
        </w:rPr>
        <w:t>環境保全活動の実施状況等</w:t>
      </w:r>
    </w:p>
    <w:tbl>
      <w:tblPr>
        <w:tblStyle w:val="a3"/>
        <w:tblW w:w="9357" w:type="dxa"/>
        <w:jc w:val="center"/>
        <w:tblLayout w:type="fixed"/>
        <w:tblLook w:val="04A0" w:firstRow="1" w:lastRow="0" w:firstColumn="1" w:lastColumn="0" w:noHBand="0" w:noVBand="1"/>
      </w:tblPr>
      <w:tblGrid>
        <w:gridCol w:w="2552"/>
        <w:gridCol w:w="4253"/>
        <w:gridCol w:w="2552"/>
      </w:tblGrid>
      <w:tr w:rsidR="00C815C7" w:rsidRPr="00E03831" w14:paraId="7AB6AC4A" w14:textId="77777777" w:rsidTr="00E03831">
        <w:trPr>
          <w:trHeight w:val="330"/>
          <w:jc w:val="center"/>
        </w:trPr>
        <w:tc>
          <w:tcPr>
            <w:tcW w:w="2552" w:type="dxa"/>
            <w:vAlign w:val="center"/>
          </w:tcPr>
          <w:p w14:paraId="0D89DDB8" w14:textId="77777777" w:rsidR="00C815C7" w:rsidRPr="00E03831" w:rsidRDefault="00B73087" w:rsidP="00B73087">
            <w:pPr>
              <w:jc w:val="center"/>
              <w:rPr>
                <w:rFonts w:eastAsiaTheme="minorHAnsi"/>
                <w:sz w:val="24"/>
              </w:rPr>
            </w:pPr>
            <w:r w:rsidRPr="00E03831">
              <w:rPr>
                <w:rFonts w:eastAsiaTheme="minorHAnsi" w:hint="eastAsia"/>
                <w:sz w:val="24"/>
              </w:rPr>
              <w:t>項　目</w:t>
            </w:r>
          </w:p>
        </w:tc>
        <w:tc>
          <w:tcPr>
            <w:tcW w:w="4253" w:type="dxa"/>
            <w:vAlign w:val="center"/>
          </w:tcPr>
          <w:p w14:paraId="7D0BA6B2" w14:textId="77777777" w:rsidR="00C815C7" w:rsidRPr="00E03831" w:rsidRDefault="009D1F24" w:rsidP="00B73087">
            <w:pPr>
              <w:jc w:val="center"/>
              <w:rPr>
                <w:rFonts w:eastAsiaTheme="minorHAnsi"/>
                <w:sz w:val="24"/>
              </w:rPr>
            </w:pPr>
            <w:r w:rsidRPr="00E03831">
              <w:rPr>
                <w:rFonts w:eastAsiaTheme="minorHAnsi" w:hint="eastAsia"/>
                <w:sz w:val="24"/>
              </w:rPr>
              <w:t>取</w:t>
            </w:r>
            <w:r w:rsidR="00C815C7" w:rsidRPr="00E03831">
              <w:rPr>
                <w:rFonts w:eastAsiaTheme="minorHAnsi" w:hint="eastAsia"/>
                <w:sz w:val="24"/>
              </w:rPr>
              <w:t>組み結果</w:t>
            </w:r>
          </w:p>
        </w:tc>
        <w:tc>
          <w:tcPr>
            <w:tcW w:w="2552" w:type="dxa"/>
            <w:vAlign w:val="center"/>
          </w:tcPr>
          <w:p w14:paraId="4306E61D" w14:textId="77777777" w:rsidR="00C815C7" w:rsidRPr="00E03831" w:rsidRDefault="009D1F24" w:rsidP="00B73087">
            <w:pPr>
              <w:jc w:val="center"/>
              <w:rPr>
                <w:rFonts w:eastAsiaTheme="minorHAnsi"/>
                <w:sz w:val="24"/>
              </w:rPr>
            </w:pPr>
            <w:r w:rsidRPr="00E03831">
              <w:rPr>
                <w:rFonts w:eastAsiaTheme="minorHAnsi" w:hint="eastAsia"/>
              </w:rPr>
              <w:t>今後の取</w:t>
            </w:r>
            <w:r w:rsidR="00B73087" w:rsidRPr="00E03831">
              <w:rPr>
                <w:rFonts w:eastAsiaTheme="minorHAnsi" w:hint="eastAsia"/>
              </w:rPr>
              <w:t>組み計画</w:t>
            </w:r>
          </w:p>
        </w:tc>
      </w:tr>
      <w:tr w:rsidR="00C815C7" w:rsidRPr="00E03831" w14:paraId="7F1959F6" w14:textId="77777777" w:rsidTr="00DB2FCA">
        <w:trPr>
          <w:trHeight w:val="2014"/>
          <w:jc w:val="center"/>
        </w:trPr>
        <w:tc>
          <w:tcPr>
            <w:tcW w:w="2552" w:type="dxa"/>
          </w:tcPr>
          <w:p w14:paraId="4CFC9735" w14:textId="0DAFB782" w:rsidR="00C815C7" w:rsidRPr="00E03831" w:rsidRDefault="008473E7" w:rsidP="00B73087">
            <w:pPr>
              <w:rPr>
                <w:rFonts w:eastAsiaTheme="minorHAnsi"/>
                <w:sz w:val="24"/>
              </w:rPr>
            </w:pPr>
            <w:r w:rsidRPr="008473E7">
              <w:rPr>
                <w:rFonts w:eastAsiaTheme="minorHAnsi" w:hint="eastAsia"/>
                <w:sz w:val="24"/>
              </w:rPr>
              <w:t>地球温暖化対策（省エネルギー）</w:t>
            </w:r>
          </w:p>
        </w:tc>
        <w:tc>
          <w:tcPr>
            <w:tcW w:w="4253" w:type="dxa"/>
          </w:tcPr>
          <w:p w14:paraId="11419DB4" w14:textId="6691A931" w:rsidR="00C815C7" w:rsidRPr="00E03831" w:rsidRDefault="008473E7" w:rsidP="00B73087">
            <w:pPr>
              <w:rPr>
                <w:rFonts w:eastAsiaTheme="minorHAnsi"/>
                <w:sz w:val="24"/>
              </w:rPr>
            </w:pPr>
            <w:r w:rsidRPr="008473E7">
              <w:rPr>
                <w:rFonts w:eastAsiaTheme="minorHAnsi" w:hint="eastAsia"/>
                <w:sz w:val="24"/>
              </w:rPr>
              <w:t>タイヤ交換を行う現場出張作業車に搭載したリチウムイオン電池を活用し、走行時に蓄えた電力を作業時に使用することで、従来必要としていた発電機の使用を抑え、</w:t>
            </w:r>
            <w:r w:rsidRPr="008473E7">
              <w:rPr>
                <w:rFonts w:eastAsiaTheme="minorHAnsi"/>
                <w:sz w:val="24"/>
              </w:rPr>
              <w:t>CO2排出量の削減に取り組んだ。</w:t>
            </w:r>
          </w:p>
        </w:tc>
        <w:tc>
          <w:tcPr>
            <w:tcW w:w="2552" w:type="dxa"/>
          </w:tcPr>
          <w:p w14:paraId="1D4BC6E1" w14:textId="7622661B" w:rsidR="00C815C7" w:rsidRPr="00E03831" w:rsidRDefault="008473E7" w:rsidP="00B73087">
            <w:pPr>
              <w:rPr>
                <w:rFonts w:eastAsiaTheme="minorHAnsi"/>
                <w:sz w:val="24"/>
              </w:rPr>
            </w:pPr>
            <w:r w:rsidRPr="008473E7">
              <w:rPr>
                <w:rFonts w:eastAsiaTheme="minorHAnsi"/>
                <w:sz w:val="24"/>
              </w:rPr>
              <w:t>2024年に導入した現場出張作業車を引き続き有効活用し、事業所全体でCO2排出量の削減につながる取組みを継続して実施する。</w:t>
            </w:r>
          </w:p>
        </w:tc>
      </w:tr>
      <w:tr w:rsidR="00C815C7" w:rsidRPr="00E03831" w14:paraId="4393AF4A" w14:textId="77777777" w:rsidTr="00DB2FCA">
        <w:trPr>
          <w:trHeight w:val="1972"/>
          <w:jc w:val="center"/>
        </w:trPr>
        <w:tc>
          <w:tcPr>
            <w:tcW w:w="2552" w:type="dxa"/>
          </w:tcPr>
          <w:p w14:paraId="0A9D235D" w14:textId="180E8F75" w:rsidR="00C815C7" w:rsidRPr="00E03831" w:rsidRDefault="008473E7" w:rsidP="00B73087">
            <w:pPr>
              <w:rPr>
                <w:rFonts w:eastAsiaTheme="minorHAnsi"/>
                <w:sz w:val="24"/>
              </w:rPr>
            </w:pPr>
            <w:r w:rsidRPr="008473E7">
              <w:rPr>
                <w:rFonts w:eastAsiaTheme="minorHAnsi" w:hint="eastAsia"/>
                <w:sz w:val="24"/>
              </w:rPr>
              <w:t>地球温暖化対策（省エネルギー）</w:t>
            </w:r>
          </w:p>
        </w:tc>
        <w:tc>
          <w:tcPr>
            <w:tcW w:w="4253" w:type="dxa"/>
          </w:tcPr>
          <w:p w14:paraId="496256F7" w14:textId="73BEAD68" w:rsidR="00C815C7" w:rsidRPr="00E03831" w:rsidRDefault="008473E7" w:rsidP="00B73087">
            <w:pPr>
              <w:rPr>
                <w:rFonts w:eastAsiaTheme="minorHAnsi"/>
                <w:sz w:val="24"/>
              </w:rPr>
            </w:pPr>
            <w:r w:rsidRPr="008473E7">
              <w:rPr>
                <w:rFonts w:eastAsiaTheme="minorHAnsi" w:hint="eastAsia"/>
                <w:sz w:val="24"/>
              </w:rPr>
              <w:t>トラック用タイヤについて、使用済みタイヤを回収し再びメーカーで製品化するリトレッドタイヤの販売を推進し、資源の有効活用と製造資源の削減に取り組んだ。これにより、製造時に必要となる資源を約</w:t>
            </w:r>
            <w:r w:rsidRPr="008473E7">
              <w:rPr>
                <w:rFonts w:eastAsiaTheme="minorHAnsi"/>
                <w:sz w:val="24"/>
              </w:rPr>
              <w:t>68％削減できる取組みを進めた。</w:t>
            </w:r>
          </w:p>
        </w:tc>
        <w:tc>
          <w:tcPr>
            <w:tcW w:w="2552" w:type="dxa"/>
          </w:tcPr>
          <w:p w14:paraId="5CAF13B3" w14:textId="4A3EAC62" w:rsidR="00C815C7" w:rsidRPr="00E03831" w:rsidRDefault="008473E7" w:rsidP="00B73087">
            <w:pPr>
              <w:rPr>
                <w:rFonts w:eastAsiaTheme="minorHAnsi"/>
                <w:sz w:val="24"/>
              </w:rPr>
            </w:pPr>
            <w:r w:rsidRPr="008473E7">
              <w:rPr>
                <w:rFonts w:eastAsiaTheme="minorHAnsi" w:hint="eastAsia"/>
                <w:sz w:val="24"/>
              </w:rPr>
              <w:t>運送事業者を中心にリトレッドタイヤの提案・販売を継続して推進する。タイヤ</w:t>
            </w:r>
            <w:r w:rsidRPr="008473E7">
              <w:rPr>
                <w:rFonts w:eastAsiaTheme="minorHAnsi"/>
                <w:sz w:val="24"/>
              </w:rPr>
              <w:t>1本あたりCO2削減効果も期待できることから、今後も積極的に提案活動を行う。</w:t>
            </w:r>
          </w:p>
        </w:tc>
      </w:tr>
      <w:tr w:rsidR="00C815C7" w:rsidRPr="00E03831" w14:paraId="610241FE" w14:textId="77777777" w:rsidTr="00DB2FCA">
        <w:trPr>
          <w:trHeight w:val="1972"/>
          <w:jc w:val="center"/>
        </w:trPr>
        <w:tc>
          <w:tcPr>
            <w:tcW w:w="2552" w:type="dxa"/>
          </w:tcPr>
          <w:p w14:paraId="13B88DFD" w14:textId="205EFEAC" w:rsidR="00C815C7" w:rsidRPr="00E03831" w:rsidRDefault="008473E7" w:rsidP="00B73087">
            <w:pPr>
              <w:rPr>
                <w:rFonts w:eastAsiaTheme="minorHAnsi"/>
                <w:sz w:val="24"/>
              </w:rPr>
            </w:pPr>
            <w:r w:rsidRPr="008473E7">
              <w:rPr>
                <w:rFonts w:eastAsiaTheme="minorHAnsi" w:hint="eastAsia"/>
                <w:sz w:val="24"/>
              </w:rPr>
              <w:t>地球温暖化対策（省エネルギー）</w:t>
            </w:r>
          </w:p>
        </w:tc>
        <w:tc>
          <w:tcPr>
            <w:tcW w:w="4253" w:type="dxa"/>
          </w:tcPr>
          <w:p w14:paraId="2A2BF02A" w14:textId="2F9DA95F" w:rsidR="00C815C7" w:rsidRPr="00E03831" w:rsidRDefault="008473E7" w:rsidP="00B73087">
            <w:pPr>
              <w:rPr>
                <w:rFonts w:eastAsiaTheme="minorHAnsi"/>
                <w:sz w:val="24"/>
              </w:rPr>
            </w:pPr>
            <w:r w:rsidRPr="008473E7">
              <w:rPr>
                <w:rFonts w:eastAsiaTheme="minorHAnsi" w:hint="eastAsia"/>
                <w:sz w:val="24"/>
              </w:rPr>
              <w:t>廃棄予定となるタイヤのうち再利用可能なものを海外向けにリユースすることで、一次寿命を終えたタイヤの再利用を促進し、資源の有効活用とリユース比率の向上に取り組んだ。</w:t>
            </w:r>
          </w:p>
        </w:tc>
        <w:tc>
          <w:tcPr>
            <w:tcW w:w="2552" w:type="dxa"/>
          </w:tcPr>
          <w:p w14:paraId="72A93925" w14:textId="176440C7" w:rsidR="00C815C7" w:rsidRPr="00E03831" w:rsidRDefault="008473E7" w:rsidP="00B73087">
            <w:pPr>
              <w:rPr>
                <w:rFonts w:eastAsiaTheme="minorHAnsi"/>
                <w:sz w:val="24"/>
              </w:rPr>
            </w:pPr>
            <w:r w:rsidRPr="008473E7">
              <w:rPr>
                <w:rFonts w:eastAsiaTheme="minorHAnsi" w:hint="eastAsia"/>
                <w:sz w:val="24"/>
              </w:rPr>
              <w:t>タイヤ交換時に発生する廃棄候補タイヤについて、今後も選別を徹底し、再利用可能なタイヤのリユースを継続して実施することで、リユース比率の向上を図る。</w:t>
            </w:r>
          </w:p>
        </w:tc>
      </w:tr>
    </w:tbl>
    <w:p w14:paraId="0045037A" w14:textId="77777777" w:rsidR="00C815C7" w:rsidRPr="00DB2FCA" w:rsidRDefault="00DB2FCA" w:rsidP="00DB2FCA">
      <w:pPr>
        <w:ind w:left="244" w:hangingChars="100" w:hanging="244"/>
        <w:rPr>
          <w:rFonts w:asciiTheme="majorHAnsi" w:eastAsiaTheme="majorHAnsi" w:hAnsiTheme="majorHAnsi"/>
        </w:rPr>
      </w:pPr>
      <w:r w:rsidRPr="00DB2FCA">
        <w:rPr>
          <w:rFonts w:asciiTheme="majorHAnsi" w:eastAsiaTheme="majorHAnsi" w:hAnsiTheme="majorHAnsi" w:hint="eastAsia"/>
        </w:rPr>
        <w:t>※</w:t>
      </w:r>
      <w:r>
        <w:rPr>
          <w:rFonts w:asciiTheme="majorHAnsi" w:eastAsiaTheme="majorHAnsi" w:hAnsiTheme="majorHAnsi" w:hint="eastAsia"/>
        </w:rPr>
        <w:t>その他、廃棄物処理・対策、地域社会活動、排水対策（公害対策等）等、貴事業所で実施している活動（事業）等があれば記載してください。特に指定する項目はありません。</w:t>
      </w:r>
    </w:p>
    <w:sectPr w:rsidR="00C815C7" w:rsidRPr="00DB2FCA" w:rsidSect="00760429">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5E54F" w14:textId="77777777" w:rsidR="00646C9C" w:rsidRDefault="00646C9C" w:rsidP="009D1F24">
      <w:r>
        <w:separator/>
      </w:r>
    </w:p>
  </w:endnote>
  <w:endnote w:type="continuationSeparator" w:id="0">
    <w:p w14:paraId="653BE8F1" w14:textId="77777777" w:rsidR="00646C9C" w:rsidRDefault="00646C9C" w:rsidP="009D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0AD9" w14:textId="77777777" w:rsidR="00646C9C" w:rsidRDefault="00646C9C" w:rsidP="009D1F24">
      <w:r>
        <w:separator/>
      </w:r>
    </w:p>
  </w:footnote>
  <w:footnote w:type="continuationSeparator" w:id="0">
    <w:p w14:paraId="5C265D42" w14:textId="77777777" w:rsidR="00646C9C" w:rsidRDefault="00646C9C" w:rsidP="009D1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CF"/>
    <w:rsid w:val="000E268D"/>
    <w:rsid w:val="001802B9"/>
    <w:rsid w:val="00430D14"/>
    <w:rsid w:val="005B5F1A"/>
    <w:rsid w:val="00646C9C"/>
    <w:rsid w:val="006539CF"/>
    <w:rsid w:val="00760429"/>
    <w:rsid w:val="008473E7"/>
    <w:rsid w:val="008846BD"/>
    <w:rsid w:val="009D1F24"/>
    <w:rsid w:val="00B73087"/>
    <w:rsid w:val="00C815C7"/>
    <w:rsid w:val="00D57F5A"/>
    <w:rsid w:val="00DB2FCA"/>
    <w:rsid w:val="00E03831"/>
    <w:rsid w:val="00F10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FA0D8"/>
  <w15:chartTrackingRefBased/>
  <w15:docId w15:val="{B82DF611-4DAF-46FE-9C00-0887947B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F5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1F24"/>
    <w:pPr>
      <w:tabs>
        <w:tab w:val="center" w:pos="4252"/>
        <w:tab w:val="right" w:pos="8504"/>
      </w:tabs>
      <w:snapToGrid w:val="0"/>
    </w:pPr>
  </w:style>
  <w:style w:type="character" w:customStyle="1" w:styleId="a5">
    <w:name w:val="ヘッダー (文字)"/>
    <w:basedOn w:val="a0"/>
    <w:link w:val="a4"/>
    <w:uiPriority w:val="99"/>
    <w:rsid w:val="009D1F24"/>
    <w:rPr>
      <w:sz w:val="22"/>
    </w:rPr>
  </w:style>
  <w:style w:type="paragraph" w:styleId="a6">
    <w:name w:val="footer"/>
    <w:basedOn w:val="a"/>
    <w:link w:val="a7"/>
    <w:uiPriority w:val="99"/>
    <w:unhideWhenUsed/>
    <w:rsid w:val="009D1F24"/>
    <w:pPr>
      <w:tabs>
        <w:tab w:val="center" w:pos="4252"/>
        <w:tab w:val="right" w:pos="8504"/>
      </w:tabs>
      <w:snapToGrid w:val="0"/>
    </w:pPr>
  </w:style>
  <w:style w:type="character" w:customStyle="1" w:styleId="a7">
    <w:name w:val="フッター (文字)"/>
    <w:basedOn w:val="a0"/>
    <w:link w:val="a6"/>
    <w:uiPriority w:val="99"/>
    <w:rsid w:val="009D1F24"/>
    <w:rPr>
      <w:sz w:val="22"/>
    </w:rPr>
  </w:style>
  <w:style w:type="paragraph" w:styleId="a8">
    <w:name w:val="Balloon Text"/>
    <w:basedOn w:val="a"/>
    <w:link w:val="a9"/>
    <w:uiPriority w:val="99"/>
    <w:semiHidden/>
    <w:unhideWhenUsed/>
    <w:rsid w:val="00DB2F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2F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CE14D-8221-4201-AE4C-694FD3B39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結城市</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結城市</dc:creator>
  <cp:keywords/>
  <dc:description/>
  <cp:lastModifiedBy>典久 古橋</cp:lastModifiedBy>
  <cp:revision>7</cp:revision>
  <cp:lastPrinted>2022-03-01T06:37:00Z</cp:lastPrinted>
  <dcterms:created xsi:type="dcterms:W3CDTF">2022-02-15T06:20:00Z</dcterms:created>
  <dcterms:modified xsi:type="dcterms:W3CDTF">2026-04-20T00:35:00Z</dcterms:modified>
</cp:coreProperties>
</file>