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00" w:lineRule="exact"/>
        <w:jc w:val="left"/>
        <w:rPr>
          <w:rFonts w:ascii="ＭＳ Ｐゴシック" w:eastAsia="ＭＳ Ｐゴシック" w:hAnsi="ＭＳ Ｐゴシック"/>
          <w:color w:val="000000" w:themeColor="text1"/>
          <w:kern w:val="0"/>
          <w:sz w:val="24"/>
          <w:szCs w:val="24"/>
        </w:rPr>
      </w:pPr>
      <w:r>
        <w:rPr>
          <w:rFonts w:ascii="ＭＳ Ｐゴシック" w:eastAsia="ＭＳ Ｐゴシック" w:hAnsi="ＭＳ Ｐゴシック" w:hint="eastAsia"/>
          <w:color w:val="000000" w:themeColor="text1"/>
          <w:kern w:val="0"/>
          <w:sz w:val="24"/>
          <w:szCs w:val="24"/>
        </w:rPr>
        <w:t>（別紙３）</w:t>
      </w:r>
    </w:p>
    <w:p>
      <w:pPr>
        <w:spacing w:line="300" w:lineRule="exact"/>
        <w:jc w:val="right"/>
        <w:rPr>
          <w:rFonts w:ascii="ＭＳ ゴシック" w:eastAsia="ＭＳ ゴシック" w:hAnsi="ＭＳ ゴシック"/>
          <w:color w:val="000000" w:themeColor="text1"/>
          <w:sz w:val="20"/>
          <w:szCs w:val="20"/>
        </w:rPr>
      </w:pPr>
    </w:p>
    <w:p>
      <w:pPr>
        <w:spacing w:line="300" w:lineRule="exact"/>
        <w:jc w:val="right"/>
        <w:rPr>
          <w:rFonts w:ascii="ＭＳ ゴシック" w:eastAsia="ＭＳ ゴシック" w:hAnsi="ＭＳ ゴシック"/>
          <w:color w:val="000000" w:themeColor="text1"/>
          <w:sz w:val="20"/>
          <w:szCs w:val="20"/>
        </w:rPr>
      </w:pPr>
    </w:p>
    <w:p>
      <w:pPr>
        <w:spacing w:line="300" w:lineRule="exact"/>
        <w:ind w:firstLineChars="100" w:firstLine="291"/>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茨城県　施設の長寿命化のための活動の対象施設・対象活動</w:t>
      </w:r>
    </w:p>
    <w:p>
      <w:pPr>
        <w:spacing w:line="300" w:lineRule="exact"/>
        <w:ind w:firstLineChars="100" w:firstLine="291"/>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に関する指針</w:t>
      </w:r>
    </w:p>
    <w:p>
      <w:pPr>
        <w:spacing w:line="300" w:lineRule="exact"/>
        <w:rPr>
          <w:rFonts w:ascii="ＭＳ 明朝" w:hAnsi="ＭＳ 明朝"/>
          <w:color w:val="000000" w:themeColor="text1"/>
          <w:sz w:val="20"/>
          <w:szCs w:val="20"/>
        </w:rPr>
      </w:pPr>
    </w:p>
    <w:p>
      <w:pPr>
        <w:spacing w:line="300" w:lineRule="exact"/>
        <w:rPr>
          <w:rFonts w:ascii="ＭＳ 明朝" w:hAnsi="ＭＳ 明朝"/>
          <w:color w:val="000000" w:themeColor="text1"/>
          <w:sz w:val="24"/>
          <w:szCs w:val="24"/>
        </w:rPr>
      </w:pPr>
      <w:r>
        <w:rPr>
          <w:rFonts w:ascii="ＭＳ 明朝" w:hAnsi="ＭＳ 明朝" w:hint="eastAsia"/>
          <w:color w:val="000000" w:themeColor="text1"/>
          <w:sz w:val="24"/>
          <w:szCs w:val="24"/>
        </w:rPr>
        <w:t>１　対象施設、対象活動の項目</w:t>
      </w:r>
      <w:bookmarkStart w:id="0" w:name="_GoBack"/>
      <w:bookmarkEnd w:id="0"/>
    </w:p>
    <w:tbl>
      <w:tblPr>
        <w:tblW w:w="9568" w:type="dxa"/>
        <w:tblInd w:w="101" w:type="dxa"/>
        <w:tblLayout w:type="fixed"/>
        <w:tblCellMar>
          <w:left w:w="0" w:type="dxa"/>
          <w:right w:w="0" w:type="dxa"/>
        </w:tblCellMar>
        <w:tblLook w:val="0000" w:firstRow="0" w:lastRow="0" w:firstColumn="0" w:lastColumn="0" w:noHBand="0" w:noVBand="0"/>
      </w:tblPr>
      <w:tblGrid>
        <w:gridCol w:w="1059"/>
        <w:gridCol w:w="2061"/>
        <w:gridCol w:w="3948"/>
        <w:gridCol w:w="2500"/>
      </w:tblGrid>
      <w:tr>
        <w:trPr>
          <w:trHeight w:val="241"/>
        </w:trPr>
        <w:tc>
          <w:tcPr>
            <w:tcW w:w="3120" w:type="dxa"/>
            <w:gridSpan w:val="2"/>
            <w:tcBorders>
              <w:top w:val="single" w:sz="4" w:space="0" w:color="auto"/>
              <w:left w:val="single" w:sz="4" w:space="0" w:color="000000"/>
              <w:right w:val="single" w:sz="4" w:space="0" w:color="000000"/>
            </w:tcBorders>
            <w:tcMar>
              <w:left w:w="49" w:type="dxa"/>
              <w:right w:w="49" w:type="dxa"/>
            </w:tcMar>
          </w:tcPr>
          <w:p>
            <w:pPr>
              <w:spacing w:line="337" w:lineRule="exact"/>
              <w:jc w:val="center"/>
              <w:rPr>
                <w:rFonts w:ascii="ＭＳ 明朝" w:hAnsi="ＭＳ 明朝"/>
                <w:color w:val="000000" w:themeColor="text1"/>
                <w:sz w:val="24"/>
                <w:szCs w:val="24"/>
              </w:rPr>
            </w:pPr>
            <w:r>
              <w:rPr>
                <w:rFonts w:ascii="ＭＳ 明朝" w:hAnsi="ＭＳ 明朝"/>
                <w:color w:val="000000" w:themeColor="text1"/>
                <w:sz w:val="24"/>
                <w:szCs w:val="24"/>
              </w:rPr>
              <w:t>活動</w:t>
            </w:r>
            <w:r>
              <w:rPr>
                <w:rFonts w:ascii="ＭＳ 明朝" w:hAnsi="ＭＳ 明朝" w:hint="eastAsia"/>
                <w:color w:val="000000" w:themeColor="text1"/>
                <w:sz w:val="24"/>
                <w:szCs w:val="24"/>
              </w:rPr>
              <w:t>区分</w:t>
            </w:r>
          </w:p>
        </w:tc>
        <w:tc>
          <w:tcPr>
            <w:tcW w:w="3948" w:type="dxa"/>
            <w:vMerge w:val="restart"/>
            <w:tcBorders>
              <w:top w:val="single" w:sz="4" w:space="0" w:color="000000"/>
              <w:left w:val="single" w:sz="4" w:space="0" w:color="000000"/>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hint="eastAsia"/>
                <w:color w:val="000000" w:themeColor="text1"/>
                <w:sz w:val="24"/>
                <w:szCs w:val="24"/>
              </w:rPr>
              <w:t>活動項目</w:t>
            </w:r>
          </w:p>
        </w:tc>
        <w:tc>
          <w:tcPr>
            <w:tcW w:w="2500" w:type="dxa"/>
            <w:vMerge w:val="restart"/>
            <w:tcBorders>
              <w:top w:val="single" w:sz="4" w:space="0" w:color="000000"/>
              <w:left w:val="single" w:sz="4" w:space="0" w:color="000000"/>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color w:val="000000" w:themeColor="text1"/>
                <w:sz w:val="24"/>
                <w:szCs w:val="24"/>
              </w:rPr>
              <w:t>活動要件</w:t>
            </w:r>
          </w:p>
        </w:tc>
      </w:tr>
      <w:tr>
        <w:trPr>
          <w:trHeight w:val="242"/>
        </w:trPr>
        <w:tc>
          <w:tcPr>
            <w:tcW w:w="1059" w:type="dxa"/>
            <w:tcBorders>
              <w:left w:val="single" w:sz="4" w:space="0" w:color="000000"/>
              <w:bottom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1" w:type="dxa"/>
            <w:tcBorders>
              <w:top w:val="single" w:sz="4" w:space="0" w:color="auto"/>
              <w:left w:val="single" w:sz="4" w:space="0" w:color="000000"/>
              <w:bottom w:val="single" w:sz="4" w:space="0" w:color="auto"/>
              <w:right w:val="single" w:sz="4" w:space="0" w:color="auto"/>
            </w:tcBorders>
          </w:tcPr>
          <w:p>
            <w:pPr>
              <w:spacing w:line="337" w:lineRule="exact"/>
              <w:jc w:val="center"/>
              <w:rPr>
                <w:rFonts w:ascii="ＭＳ 明朝" w:hAnsi="ＭＳ 明朝"/>
                <w:color w:val="000000" w:themeColor="text1"/>
                <w:sz w:val="24"/>
                <w:szCs w:val="24"/>
              </w:rPr>
            </w:pPr>
            <w:r>
              <w:rPr>
                <w:rFonts w:ascii="ＭＳ 明朝" w:hAnsi="ＭＳ 明朝"/>
                <w:color w:val="000000" w:themeColor="text1"/>
                <w:sz w:val="24"/>
                <w:szCs w:val="24"/>
              </w:rPr>
              <w:t>施設区分</w:t>
            </w:r>
          </w:p>
        </w:tc>
        <w:tc>
          <w:tcPr>
            <w:tcW w:w="3948" w:type="dxa"/>
            <w:vMerge/>
            <w:tcBorders>
              <w:left w:val="single" w:sz="4" w:space="0" w:color="auto"/>
              <w:bottom w:val="single" w:sz="4" w:space="0" w:color="000000"/>
              <w:right w:val="single" w:sz="4" w:space="0" w:color="000000"/>
            </w:tcBorders>
            <w:tcMar>
              <w:left w:w="49" w:type="dxa"/>
              <w:right w:w="49" w:type="dxa"/>
            </w:tcMar>
          </w:tcPr>
          <w:p>
            <w:pPr>
              <w:spacing w:line="337" w:lineRule="exact"/>
              <w:jc w:val="center"/>
              <w:rPr>
                <w:rFonts w:ascii="ＭＳ 明朝" w:hAnsi="ＭＳ 明朝"/>
                <w:color w:val="000000" w:themeColor="text1"/>
                <w:sz w:val="24"/>
                <w:szCs w:val="24"/>
              </w:rPr>
            </w:pPr>
          </w:p>
        </w:tc>
        <w:tc>
          <w:tcPr>
            <w:tcW w:w="2500" w:type="dxa"/>
            <w:vMerge/>
            <w:tcBorders>
              <w:left w:val="single" w:sz="4" w:space="0" w:color="000000"/>
              <w:bottom w:val="single" w:sz="4" w:space="0" w:color="000000"/>
              <w:right w:val="single" w:sz="4" w:space="0" w:color="000000"/>
            </w:tcBorders>
            <w:tcMar>
              <w:left w:w="49" w:type="dxa"/>
              <w:right w:w="49" w:type="dxa"/>
            </w:tcMar>
          </w:tcPr>
          <w:p>
            <w:pPr>
              <w:spacing w:line="337" w:lineRule="exact"/>
              <w:jc w:val="center"/>
              <w:rPr>
                <w:rFonts w:ascii="ＭＳ 明朝" w:hAnsi="ＭＳ 明朝"/>
                <w:color w:val="000000" w:themeColor="text1"/>
                <w:sz w:val="24"/>
                <w:szCs w:val="24"/>
              </w:rPr>
            </w:pPr>
          </w:p>
        </w:tc>
      </w:tr>
      <w:tr>
        <w:trPr>
          <w:trHeight w:val="322"/>
        </w:trPr>
        <w:tc>
          <w:tcPr>
            <w:tcW w:w="1059" w:type="dxa"/>
            <w:vMerge w:val="restart"/>
            <w:tcBorders>
              <w:top w:val="single" w:sz="4" w:space="0" w:color="auto"/>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実践</w:t>
            </w:r>
          </w:p>
          <w:p>
            <w:pPr>
              <w:spacing w:line="337" w:lineRule="exact"/>
              <w:jc w:val="left"/>
              <w:rPr>
                <w:color w:val="000000" w:themeColor="text1"/>
                <w:sz w:val="24"/>
                <w:szCs w:val="24"/>
              </w:rPr>
            </w:pPr>
            <w:r>
              <w:rPr>
                <w:rFonts w:ascii="ＭＳ 明朝" w:hAnsi="ＭＳ 明朝"/>
                <w:color w:val="000000" w:themeColor="text1"/>
                <w:sz w:val="24"/>
                <w:szCs w:val="24"/>
              </w:rPr>
              <w:t>活動</w:t>
            </w:r>
          </w:p>
        </w:tc>
        <w:tc>
          <w:tcPr>
            <w:tcW w:w="2061" w:type="dxa"/>
            <w:tcBorders>
              <w:top w:val="single" w:sz="4" w:space="0" w:color="auto"/>
              <w:left w:val="single" w:sz="4" w:space="0" w:color="auto"/>
              <w:right w:val="single" w:sz="4" w:space="0" w:color="000000"/>
            </w:tcBorders>
            <w:tcMar>
              <w:left w:w="49" w:type="dxa"/>
              <w:right w:w="49" w:type="dxa"/>
            </w:tcMar>
          </w:tcPr>
          <w:p>
            <w:pPr>
              <w:spacing w:line="337" w:lineRule="exact"/>
              <w:jc w:val="left"/>
              <w:rPr>
                <w:color w:val="000000" w:themeColor="text1"/>
                <w:sz w:val="24"/>
                <w:szCs w:val="24"/>
              </w:rPr>
            </w:pPr>
            <w:r>
              <w:rPr>
                <w:rFonts w:ascii="ＭＳ 明朝" w:hAnsi="ＭＳ 明朝"/>
                <w:color w:val="000000" w:themeColor="text1"/>
                <w:sz w:val="24"/>
                <w:szCs w:val="24"/>
              </w:rPr>
              <w:t>水路</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61</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水路の補修</w:t>
            </w:r>
          </w:p>
        </w:tc>
        <w:tc>
          <w:tcPr>
            <w:tcW w:w="2500" w:type="dxa"/>
            <w:vMerge w:val="restart"/>
            <w:tcBorders>
              <w:top w:val="single" w:sz="4" w:space="0" w:color="auto"/>
              <w:left w:val="single" w:sz="4" w:space="0" w:color="000000"/>
              <w:right w:val="single" w:sz="4" w:space="0" w:color="000000"/>
            </w:tcBorders>
            <w:tcMar>
              <w:left w:w="49" w:type="dxa"/>
              <w:right w:w="49" w:type="dxa"/>
            </w:tcMar>
          </w:tcPr>
          <w:p>
            <w:pPr>
              <w:spacing w:line="337" w:lineRule="exact"/>
              <w:ind w:right="-4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原則として工事１件当たり200万円未満とする。</w:t>
            </w:r>
          </w:p>
          <w:p>
            <w:pPr>
              <w:spacing w:line="337" w:lineRule="exact"/>
              <w:ind w:right="-49" w:firstLineChars="100" w:firstLine="251"/>
              <w:rPr>
                <w:color w:val="000000" w:themeColor="text1"/>
                <w:sz w:val="24"/>
                <w:szCs w:val="24"/>
              </w:rPr>
            </w:pPr>
            <w:r>
              <w:rPr>
                <w:rFonts w:asciiTheme="minorEastAsia" w:eastAsiaTheme="minorEastAsia" w:hAnsiTheme="minorEastAsia"/>
                <w:color w:val="000000" w:themeColor="text1"/>
                <w:sz w:val="24"/>
                <w:szCs w:val="24"/>
              </w:rPr>
              <w:t>都道府県知事が策定する要綱基本方針に基づき</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対象組織が工事１件当たり200万円以上の活動を実施する場合</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都道府県又は推進組織が当該活動について技術的指導を行う。</w:t>
            </w:r>
          </w:p>
        </w:tc>
      </w:tr>
      <w:tr>
        <w:trPr>
          <w:trHeight w:val="322"/>
        </w:trPr>
        <w:tc>
          <w:tcPr>
            <w:tcW w:w="1059"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1" w:type="dxa"/>
            <w:tcBorders>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62</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水路の更新等</w:t>
            </w:r>
          </w:p>
        </w:tc>
        <w:tc>
          <w:tcPr>
            <w:tcW w:w="2500" w:type="dxa"/>
            <w:vMerge/>
            <w:tcBorders>
              <w:left w:val="single" w:sz="4" w:space="0" w:color="000000"/>
              <w:right w:val="single" w:sz="4" w:space="0" w:color="000000"/>
            </w:tcBorders>
            <w:tcMar>
              <w:left w:w="49" w:type="dxa"/>
              <w:right w:w="49" w:type="dxa"/>
            </w:tcMar>
          </w:tcPr>
          <w:p>
            <w:pPr>
              <w:spacing w:line="337" w:lineRule="exact"/>
              <w:ind w:right="-49"/>
              <w:jc w:val="left"/>
              <w:rPr>
                <w:color w:val="000000" w:themeColor="text1"/>
                <w:sz w:val="24"/>
                <w:szCs w:val="24"/>
              </w:rPr>
            </w:pPr>
          </w:p>
        </w:tc>
      </w:tr>
      <w:tr>
        <w:trPr>
          <w:trHeight w:val="310"/>
        </w:trPr>
        <w:tc>
          <w:tcPr>
            <w:tcW w:w="1059" w:type="dxa"/>
            <w:vMerge w:val="restart"/>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1" w:type="dxa"/>
            <w:vMerge w:val="restart"/>
            <w:tcBorders>
              <w:top w:val="single" w:sz="4" w:space="0" w:color="auto"/>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農道</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63</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農道の補修</w:t>
            </w:r>
          </w:p>
        </w:tc>
        <w:tc>
          <w:tcPr>
            <w:tcW w:w="2500" w:type="dxa"/>
            <w:vMerge/>
            <w:tcBorders>
              <w:left w:val="single" w:sz="4" w:space="0" w:color="000000"/>
              <w:right w:val="single" w:sz="4" w:space="0" w:color="000000"/>
            </w:tcBorders>
            <w:tcMar>
              <w:left w:w="49" w:type="dxa"/>
              <w:right w:w="49" w:type="dxa"/>
            </w:tcMar>
          </w:tcPr>
          <w:p>
            <w:pPr>
              <w:spacing w:line="337" w:lineRule="exact"/>
              <w:ind w:right="-49"/>
              <w:jc w:val="left"/>
              <w:rPr>
                <w:color w:val="000000" w:themeColor="text1"/>
                <w:sz w:val="24"/>
                <w:szCs w:val="24"/>
              </w:rPr>
            </w:pPr>
          </w:p>
        </w:tc>
      </w:tr>
      <w:tr>
        <w:trPr>
          <w:trHeight w:val="297"/>
        </w:trPr>
        <w:tc>
          <w:tcPr>
            <w:tcW w:w="1059"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1" w:type="dxa"/>
            <w:vMerge/>
            <w:tcBorders>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64</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農道の更新等</w:t>
            </w:r>
          </w:p>
        </w:tc>
        <w:tc>
          <w:tcPr>
            <w:tcW w:w="2500" w:type="dxa"/>
            <w:vMerge/>
            <w:tcBorders>
              <w:left w:val="single" w:sz="4" w:space="0" w:color="000000"/>
              <w:right w:val="single" w:sz="4" w:space="0" w:color="000000"/>
            </w:tcBorders>
            <w:tcMar>
              <w:left w:w="49" w:type="dxa"/>
              <w:right w:w="49" w:type="dxa"/>
            </w:tcMar>
          </w:tcPr>
          <w:p>
            <w:pPr>
              <w:spacing w:line="337" w:lineRule="exact"/>
              <w:ind w:right="-49"/>
              <w:jc w:val="left"/>
              <w:rPr>
                <w:color w:val="000000" w:themeColor="text1"/>
                <w:sz w:val="24"/>
                <w:szCs w:val="24"/>
              </w:rPr>
            </w:pPr>
          </w:p>
        </w:tc>
      </w:tr>
      <w:tr>
        <w:trPr>
          <w:trHeight w:val="297"/>
        </w:trPr>
        <w:tc>
          <w:tcPr>
            <w:tcW w:w="1059"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1" w:type="dxa"/>
            <w:vMerge w:val="restart"/>
            <w:tcBorders>
              <w:top w:val="single" w:sz="4" w:space="0" w:color="auto"/>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ため池</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65</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ため池の補修</w:t>
            </w:r>
          </w:p>
        </w:tc>
        <w:tc>
          <w:tcPr>
            <w:tcW w:w="2500" w:type="dxa"/>
            <w:vMerge/>
            <w:tcBorders>
              <w:left w:val="single" w:sz="4" w:space="0" w:color="000000"/>
              <w:right w:val="single" w:sz="4" w:space="0" w:color="000000"/>
            </w:tcBorders>
            <w:tcMar>
              <w:left w:w="49" w:type="dxa"/>
              <w:right w:w="49" w:type="dxa"/>
            </w:tcMar>
          </w:tcPr>
          <w:p>
            <w:pPr>
              <w:spacing w:line="337" w:lineRule="exact"/>
              <w:ind w:right="-49"/>
              <w:jc w:val="left"/>
              <w:rPr>
                <w:color w:val="000000" w:themeColor="text1"/>
                <w:sz w:val="24"/>
                <w:szCs w:val="24"/>
              </w:rPr>
            </w:pPr>
          </w:p>
        </w:tc>
      </w:tr>
      <w:tr>
        <w:trPr>
          <w:trHeight w:val="1288"/>
        </w:trPr>
        <w:tc>
          <w:tcPr>
            <w:tcW w:w="1059" w:type="dxa"/>
            <w:vMerge/>
            <w:tcBorders>
              <w:left w:val="single" w:sz="4" w:space="0" w:color="auto"/>
              <w:bottom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1" w:type="dxa"/>
            <w:vMerge/>
            <w:tcBorders>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66</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ため池（附帯施設）の更新等</w:t>
            </w:r>
          </w:p>
        </w:tc>
        <w:tc>
          <w:tcPr>
            <w:tcW w:w="2500" w:type="dxa"/>
            <w:vMerge/>
            <w:tcBorders>
              <w:left w:val="single" w:sz="4" w:space="0" w:color="000000"/>
              <w:bottom w:val="single" w:sz="4" w:space="0" w:color="auto"/>
              <w:right w:val="single" w:sz="4" w:space="0" w:color="000000"/>
            </w:tcBorders>
            <w:tcMar>
              <w:left w:w="49" w:type="dxa"/>
              <w:right w:w="49" w:type="dxa"/>
            </w:tcMar>
          </w:tcPr>
          <w:p>
            <w:pPr>
              <w:spacing w:line="337" w:lineRule="exact"/>
              <w:ind w:right="-49"/>
              <w:jc w:val="left"/>
              <w:rPr>
                <w:color w:val="000000" w:themeColor="text1"/>
                <w:sz w:val="24"/>
                <w:szCs w:val="24"/>
              </w:rPr>
            </w:pPr>
          </w:p>
        </w:tc>
      </w:tr>
    </w:tbl>
    <w:p>
      <w:pPr>
        <w:spacing w:line="300" w:lineRule="exact"/>
        <w:rPr>
          <w:rFonts w:ascii="ＭＳ 明朝" w:hAnsi="ＭＳ 明朝"/>
          <w:color w:val="000000" w:themeColor="text1"/>
          <w:sz w:val="24"/>
          <w:szCs w:val="24"/>
        </w:rPr>
      </w:pPr>
    </w:p>
    <w:p>
      <w:pPr>
        <w:spacing w:line="300" w:lineRule="exact"/>
        <w:rPr>
          <w:rFonts w:ascii="ＭＳ 明朝" w:hAnsi="ＭＳ 明朝"/>
          <w:color w:val="000000" w:themeColor="text1"/>
          <w:sz w:val="20"/>
          <w:szCs w:val="20"/>
        </w:rPr>
      </w:pPr>
    </w:p>
    <w:p>
      <w:pPr>
        <w:tabs>
          <w:tab w:val="left" w:pos="426"/>
        </w:tabs>
        <w:spacing w:line="300" w:lineRule="exact"/>
        <w:rPr>
          <w:rFonts w:ascii="ＭＳ 明朝" w:hAnsi="ＭＳ 明朝"/>
          <w:color w:val="000000" w:themeColor="text1"/>
          <w:sz w:val="24"/>
          <w:szCs w:val="24"/>
        </w:rPr>
      </w:pPr>
      <w:r>
        <w:rPr>
          <w:rFonts w:ascii="ＭＳ 明朝" w:hAnsi="ＭＳ 明朝" w:hint="eastAsia"/>
          <w:color w:val="000000" w:themeColor="text1"/>
          <w:sz w:val="24"/>
          <w:szCs w:val="24"/>
        </w:rPr>
        <w:t>２　対象施設、対象活動の項目の説明</w:t>
      </w:r>
    </w:p>
    <w:p>
      <w:pPr>
        <w:tabs>
          <w:tab w:val="left" w:pos="210"/>
        </w:tabs>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（１）実践活動</w:t>
      </w:r>
    </w:p>
    <w:p>
      <w:pPr>
        <w:ind w:firstLineChars="200" w:firstLine="50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１）　水路（開水路、パイプライン）に関する対象活動</w:t>
      </w:r>
    </w:p>
    <w:p>
      <w:pPr>
        <w:ind w:firstLineChars="400" w:firstLine="100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61</w:t>
      </w:r>
      <w:r>
        <w:rPr>
          <w:rFonts w:asciiTheme="minorEastAsia" w:eastAsiaTheme="minorEastAsia" w:hAnsiTheme="minorEastAsia" w:hint="eastAsia"/>
          <w:color w:val="000000" w:themeColor="text1"/>
          <w:sz w:val="24"/>
          <w:szCs w:val="24"/>
        </w:rPr>
        <w:t xml:space="preserve">　水</w:t>
      </w:r>
      <w:r>
        <w:rPr>
          <w:rFonts w:asciiTheme="minorEastAsia" w:eastAsiaTheme="minorEastAsia" w:hAnsiTheme="minorEastAsia"/>
          <w:color w:val="000000" w:themeColor="text1"/>
          <w:sz w:val="24"/>
          <w:szCs w:val="24"/>
        </w:rPr>
        <w:t>路の補修</w:t>
      </w: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①　水路本体</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□水路の破損部分の補修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ひび割れや部分的な欠損、側壁の倒壊など、水路の一部区間が破損している場合、破損状況に応じた工法による補修等の対策を行うこと。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□水路の老朽化部分の補修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目地の劣化やコンクリート表面の磨耗、ひび割れ、はく離など、水路の一部区間が老朽化している場合、老朽化の状況に応じた工法による補修等の対策を行うこと。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□水路側壁の嵩上げ</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水路敷きの不同沈下により溢水するといった通水機能に支障が生じている場合、水路側壁を嵩上げすることによる対策を行うこと。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□Ｕ字フリューム等既設水路の再布設</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水路敷きの不同沈下により溢水や漏水、あるいは、土砂の堆積など、通水機能に支障が生じている場合、Ｕ字フリューム等既設水路の再布設による対策を行うこと。</w:t>
      </w:r>
    </w:p>
    <w:p>
      <w:pPr>
        <w:ind w:left="1049" w:firstLineChars="200" w:firstLine="501"/>
        <w:rPr>
          <w:rFonts w:asciiTheme="minorEastAsia" w:eastAsiaTheme="minorEastAsia" w:hAnsiTheme="minorEastAsia"/>
          <w:color w:val="000000" w:themeColor="text1"/>
          <w:sz w:val="24"/>
          <w:szCs w:val="24"/>
        </w:rPr>
      </w:pP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lastRenderedPageBreak/>
        <w:t>②　附帯施設</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□集水枡、分水枡の補修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集水桝、分水枡の破損箇所や老朽化した箇所の補修等の対策を行うこと。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□ゲート、ポンプの補修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ゲート、ポンプ又はそれらの管理施設について、破損や老朽化した箇所の補修等の対策を行うこと。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□安全施設の補修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水路内への侵入や転落を防止するフェンスなど安全施設の破損箇所や老朽化した箇所の補修等の対策を行うこと。</w:t>
      </w:r>
    </w:p>
    <w:p>
      <w:pPr>
        <w:tabs>
          <w:tab w:val="left" w:pos="1678"/>
          <w:tab w:val="left" w:pos="1888"/>
        </w:tabs>
        <w:rPr>
          <w:rFonts w:asciiTheme="minorEastAsia" w:eastAsiaTheme="minorEastAsia" w:hAnsiTheme="minorEastAsia"/>
          <w:color w:val="000000" w:themeColor="text1"/>
          <w:sz w:val="24"/>
          <w:szCs w:val="24"/>
        </w:rPr>
      </w:pPr>
    </w:p>
    <w:p>
      <w:pPr>
        <w:ind w:firstLineChars="400" w:firstLine="100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62</w:t>
      </w:r>
      <w:r>
        <w:rPr>
          <w:rFonts w:asciiTheme="minorEastAsia" w:eastAsiaTheme="minorEastAsia" w:hAnsiTheme="minorEastAsia" w:hint="eastAsia"/>
          <w:color w:val="000000" w:themeColor="text1"/>
          <w:sz w:val="24"/>
          <w:szCs w:val="24"/>
        </w:rPr>
        <w:t xml:space="preserve">　水</w:t>
      </w:r>
      <w:r>
        <w:rPr>
          <w:rFonts w:asciiTheme="minorEastAsia" w:eastAsiaTheme="minorEastAsia" w:hAnsiTheme="minorEastAsia"/>
          <w:color w:val="000000" w:themeColor="text1"/>
          <w:sz w:val="24"/>
          <w:szCs w:val="24"/>
        </w:rPr>
        <w:t>路の更新等</w:t>
      </w: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①　水路本体</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□素堀り水路からコンクリート水路への更新</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水路法面の崩壊や土砂の堆積等による通水機能の喪失や、清掃や泥上げなどの日常管理が困難な場合、コンクリート製</w:t>
      </w:r>
      <w:r>
        <w:rPr>
          <w:rFonts w:asciiTheme="minorEastAsia" w:eastAsiaTheme="minorEastAsia" w:hAnsiTheme="minorEastAsia" w:hint="eastAsia"/>
          <w:color w:val="000000" w:themeColor="text1"/>
          <w:sz w:val="24"/>
          <w:szCs w:val="24"/>
        </w:rPr>
        <w:t>等</w:t>
      </w:r>
      <w:r>
        <w:rPr>
          <w:rFonts w:asciiTheme="minorEastAsia" w:eastAsiaTheme="minorEastAsia" w:hAnsiTheme="minorEastAsia"/>
          <w:color w:val="000000" w:themeColor="text1"/>
          <w:sz w:val="24"/>
          <w:szCs w:val="24"/>
        </w:rPr>
        <w:t>の水路に更新するなどの対策を行うこと。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□水路の更新</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水路の一部区間において老朽化や不同沈下等による通水機能への支障が生じている場合、水路の当該区間の更新による対策を行うこと。</w:t>
      </w:r>
    </w:p>
    <w:p>
      <w:pPr>
        <w:rPr>
          <w:rFonts w:asciiTheme="minorEastAsia" w:eastAsiaTheme="minorEastAsia" w:hAnsiTheme="minorEastAsia"/>
          <w:color w:val="000000" w:themeColor="text1"/>
          <w:sz w:val="24"/>
          <w:szCs w:val="24"/>
        </w:rPr>
      </w:pP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②　附帯施設</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□ゲート、ポンプの更新</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老朽化等により機能に支障が生じているゲート、ポンプ又はそれらの管理施設について、更新などの対策を行うこと。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□安全施設の設置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水路内への転落防止や危険区域内への立入り防止等のために、新たに安全施設を設置することによる対策を行うこと。</w:t>
      </w:r>
    </w:p>
    <w:p>
      <w:pPr>
        <w:rPr>
          <w:rFonts w:asciiTheme="minorEastAsia" w:eastAsiaTheme="minorEastAsia" w:hAnsiTheme="minorEastAsia"/>
          <w:color w:val="000000" w:themeColor="text1"/>
          <w:sz w:val="24"/>
          <w:szCs w:val="24"/>
        </w:rPr>
      </w:pPr>
    </w:p>
    <w:p>
      <w:pPr>
        <w:ind w:firstLineChars="200" w:firstLine="50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２）　農道に関する対象活動</w:t>
      </w:r>
    </w:p>
    <w:p>
      <w:pPr>
        <w:ind w:firstLineChars="400" w:firstLine="100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63</w:t>
      </w:r>
      <w:r>
        <w:rPr>
          <w:rFonts w:asciiTheme="minorEastAsia" w:eastAsiaTheme="minorEastAsia" w:hAnsiTheme="minorEastAsia" w:hint="eastAsia"/>
          <w:color w:val="000000" w:themeColor="text1"/>
          <w:sz w:val="24"/>
          <w:szCs w:val="24"/>
        </w:rPr>
        <w:t xml:space="preserve">　農</w:t>
      </w:r>
      <w:r>
        <w:rPr>
          <w:rFonts w:asciiTheme="minorEastAsia" w:eastAsiaTheme="minorEastAsia" w:hAnsiTheme="minorEastAsia"/>
          <w:color w:val="000000" w:themeColor="text1"/>
          <w:sz w:val="24"/>
          <w:szCs w:val="24"/>
        </w:rPr>
        <w:t>道の補修</w:t>
      </w: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①　農道本体</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□農道路肩、農道法面の補修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農道路肩、農道法面に侵食や土砂の崩壊などが生じている場合、当該箇所の状況に応じた工法による補修等の対策を行うこと。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□舗装の打換え（一部）</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老朽化等により農道の舗装路面の凹凸、轍、ひび割れ等がみられた場合、その一部を撤去するなどした後、新たに舗装するなどの対策を行うこと。</w:t>
      </w:r>
    </w:p>
    <w:p>
      <w:pPr>
        <w:tabs>
          <w:tab w:val="left" w:pos="1573"/>
        </w:tabs>
        <w:ind w:left="1888" w:hanging="210"/>
        <w:rPr>
          <w:rFonts w:asciiTheme="minorEastAsia" w:eastAsiaTheme="minorEastAsia" w:hAnsiTheme="minorEastAsia"/>
          <w:color w:val="000000" w:themeColor="text1"/>
          <w:sz w:val="24"/>
          <w:szCs w:val="24"/>
        </w:rPr>
      </w:pP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②　附帯施設</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□農道側溝の補修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ひび割れや部分的な欠損、側壁の倒壊といった破損や目地の劣化、コンクリート表面の磨耗、ひび割れ、はく離等といった老朽化が生じている場合、当該箇所の状況に応じた工法による補修等の対策を行うこと。</w:t>
      </w:r>
    </w:p>
    <w:p>
      <w:pPr>
        <w:rPr>
          <w:rFonts w:asciiTheme="minorEastAsia" w:eastAsiaTheme="minorEastAsia" w:hAnsiTheme="minorEastAsia"/>
          <w:color w:val="000000" w:themeColor="text1"/>
          <w:sz w:val="24"/>
          <w:szCs w:val="24"/>
        </w:rPr>
      </w:pPr>
    </w:p>
    <w:p>
      <w:pPr>
        <w:ind w:firstLineChars="400" w:firstLine="100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64</w:t>
      </w:r>
      <w:r>
        <w:rPr>
          <w:rFonts w:asciiTheme="minorEastAsia" w:eastAsiaTheme="minorEastAsia" w:hAnsiTheme="minorEastAsia" w:hint="eastAsia"/>
          <w:color w:val="000000" w:themeColor="text1"/>
          <w:sz w:val="24"/>
          <w:szCs w:val="24"/>
        </w:rPr>
        <w:t xml:space="preserve">　農</w:t>
      </w:r>
      <w:r>
        <w:rPr>
          <w:rFonts w:asciiTheme="minorEastAsia" w:eastAsiaTheme="minorEastAsia" w:hAnsiTheme="minorEastAsia"/>
          <w:color w:val="000000" w:themeColor="text1"/>
          <w:sz w:val="24"/>
          <w:szCs w:val="24"/>
        </w:rPr>
        <w:t>道の更新等</w:t>
      </w: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①　農道本体</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□未舗装農道を舗装（砂利、コンクリート、アスファルト）</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未舗装農道において、農道の維持管理等に支障が生じている場合、新たに路面を舗装することによる対策を行うこと。</w:t>
      </w:r>
    </w:p>
    <w:p>
      <w:pPr>
        <w:rPr>
          <w:rFonts w:asciiTheme="minorEastAsia" w:eastAsiaTheme="minorEastAsia" w:hAnsiTheme="minorEastAsia"/>
          <w:color w:val="000000" w:themeColor="text1"/>
          <w:sz w:val="24"/>
          <w:szCs w:val="24"/>
        </w:rPr>
      </w:pP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②　附帯施設</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□側溝蓋の設置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農道において、側溝に蓋がないために車輌通行時に脱輪したり、農業機械の移動や作業等に伴って側溝を傷付けるなどの恐れがある場合、当該箇所に新たな蓋を設置することにより対策を行うこと。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□土側溝をコンクリート側溝に更新</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土側溝において、側溝法面の崩壊や土砂の堆積等による通水機能の喪失や、清掃や泥上げなどの日常管理が困難な場合、コンクリート製の側溝に更新するなどの対策を行うこと。</w:t>
      </w:r>
    </w:p>
    <w:p>
      <w:pPr>
        <w:rPr>
          <w:rFonts w:asciiTheme="minorEastAsia" w:eastAsiaTheme="minorEastAsia" w:hAnsiTheme="minorEastAsia"/>
          <w:color w:val="000000" w:themeColor="text1"/>
          <w:sz w:val="24"/>
          <w:szCs w:val="24"/>
        </w:rPr>
      </w:pPr>
    </w:p>
    <w:p>
      <w:pPr>
        <w:rPr>
          <w:rFonts w:asciiTheme="minorEastAsia" w:eastAsiaTheme="minorEastAsia" w:hAnsiTheme="minorEastAsia"/>
          <w:color w:val="000000" w:themeColor="text1"/>
          <w:sz w:val="24"/>
          <w:szCs w:val="24"/>
        </w:rPr>
      </w:pPr>
    </w:p>
    <w:p>
      <w:pPr>
        <w:ind w:firstLineChars="200" w:firstLine="50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３）　ため池に関する対象活動</w:t>
      </w:r>
    </w:p>
    <w:p>
      <w:pPr>
        <w:ind w:firstLineChars="400" w:firstLine="100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65</w:t>
      </w:r>
      <w:r>
        <w:rPr>
          <w:rFonts w:asciiTheme="minorEastAsia" w:eastAsiaTheme="minorEastAsia" w:hAnsiTheme="minorEastAsia" w:hint="eastAsia"/>
          <w:color w:val="000000" w:themeColor="text1"/>
          <w:sz w:val="24"/>
          <w:szCs w:val="24"/>
        </w:rPr>
        <w:t xml:space="preserve">　た</w:t>
      </w:r>
      <w:r>
        <w:rPr>
          <w:rFonts w:asciiTheme="minorEastAsia" w:eastAsiaTheme="minorEastAsia" w:hAnsiTheme="minorEastAsia"/>
          <w:color w:val="000000" w:themeColor="text1"/>
          <w:sz w:val="24"/>
          <w:szCs w:val="24"/>
        </w:rPr>
        <w:t>め池の補修</w:t>
      </w: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①　ため池本体</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□洗堀箇所の補修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ため池において、堤体が洗掘されている場合、土のうを積んで補修する等の対策を行うこと。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□漏水箇所の補修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ため池において、老朽化等による堤体からの漏水等がみられた場合、遮水シートを設置する等の対策を行うこと。</w:t>
      </w:r>
    </w:p>
    <w:p>
      <w:pPr>
        <w:ind w:left="1049" w:firstLineChars="200" w:firstLine="501"/>
        <w:rPr>
          <w:rFonts w:asciiTheme="minorEastAsia" w:eastAsiaTheme="minorEastAsia" w:hAnsiTheme="minorEastAsia"/>
          <w:color w:val="000000" w:themeColor="text1"/>
          <w:sz w:val="24"/>
          <w:szCs w:val="24"/>
        </w:rPr>
      </w:pPr>
    </w:p>
    <w:p>
      <w:pPr>
        <w:ind w:firstLineChars="500" w:firstLine="125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②　附帯施設</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□取水施設の補修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ため池の竪樋、底樋、斜樋などの取水施設の破損や老朽化した箇所の補修等の対策を行うこと。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□洪水吐の補修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lastRenderedPageBreak/>
        <w:t>・　ため池の洪水吐の破損や老朽化した箇所の補修等の対策を行うこと。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□安全施設の補修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転落防止や危険区域内への立入り防止等のために設置されている安全施設の破損や老朽化した箇所の補修等の対策を行うこと。</w:t>
      </w:r>
    </w:p>
    <w:p>
      <w:pPr>
        <w:rPr>
          <w:rFonts w:asciiTheme="minorEastAsia" w:eastAsiaTheme="minorEastAsia" w:hAnsiTheme="minorEastAsia"/>
          <w:color w:val="000000" w:themeColor="text1"/>
          <w:sz w:val="24"/>
          <w:szCs w:val="24"/>
        </w:rPr>
      </w:pPr>
    </w:p>
    <w:p>
      <w:pPr>
        <w:ind w:firstLineChars="400" w:firstLine="1003"/>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66</w:t>
      </w:r>
      <w:r>
        <w:rPr>
          <w:rFonts w:asciiTheme="minorEastAsia" w:eastAsiaTheme="minorEastAsia" w:hAnsiTheme="minorEastAsia" w:hint="eastAsia"/>
          <w:color w:val="000000" w:themeColor="text1"/>
          <w:sz w:val="24"/>
          <w:szCs w:val="24"/>
        </w:rPr>
        <w:t xml:space="preserve">　た</w:t>
      </w:r>
      <w:r>
        <w:rPr>
          <w:rFonts w:asciiTheme="minorEastAsia" w:eastAsiaTheme="minorEastAsia" w:hAnsiTheme="minorEastAsia"/>
          <w:color w:val="000000" w:themeColor="text1"/>
          <w:sz w:val="24"/>
          <w:szCs w:val="24"/>
        </w:rPr>
        <w:t>め池（附帯施設）の更新等</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□ゲート、バルブの更新</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老朽化等により機能に支障が生じているため池のゲート、バルブの更新等の対策を行うこと。</w:t>
      </w:r>
    </w:p>
    <w:p>
      <w:pPr>
        <w:ind w:left="125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□安全施設の設置</w:t>
      </w:r>
    </w:p>
    <w:p>
      <w:pPr>
        <w:tabs>
          <w:tab w:val="left" w:pos="1678"/>
        </w:tabs>
        <w:ind w:leftChars="784" w:left="1981"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ため池への転落防止や危険区域内への立入り防止等のために、新たに安全施設を設置することによる対策を行うこと。</w:t>
      </w:r>
    </w:p>
    <w:p>
      <w:pPr>
        <w:spacing w:line="300" w:lineRule="exact"/>
        <w:rPr>
          <w:rFonts w:ascii="ＭＳ 明朝" w:hAnsi="ＭＳ 明朝"/>
          <w:color w:val="000000" w:themeColor="text1"/>
          <w:sz w:val="24"/>
          <w:szCs w:val="24"/>
        </w:rPr>
      </w:pPr>
    </w:p>
    <w:sectPr>
      <w:footerReference w:type="default" r:id="rId8"/>
      <w:pgSz w:w="11906" w:h="16838" w:code="9"/>
      <w:pgMar w:top="1134" w:right="851" w:bottom="851" w:left="1134" w:header="851" w:footer="283" w:gutter="0"/>
      <w:cols w:space="425"/>
      <w:docGrid w:type="linesAndChars" w:linePitch="375" w:charSpace="21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jc w:val="center"/>
    </w:pP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D6F"/>
    <w:multiLevelType w:val="hybridMultilevel"/>
    <w:tmpl w:val="B426C6D8"/>
    <w:lvl w:ilvl="0" w:tplc="CE6A5F98">
      <w:start w:val="3"/>
      <w:numFmt w:val="bullet"/>
      <w:lvlText w:val="※"/>
      <w:lvlJc w:val="left"/>
      <w:pPr>
        <w:ind w:left="1741" w:hanging="360"/>
      </w:pPr>
      <w:rPr>
        <w:rFonts w:ascii="ＭＳ 明朝" w:eastAsia="ＭＳ 明朝" w:hAnsi="ＭＳ 明朝" w:cs="Times New Roman" w:hint="eastAsia"/>
      </w:rPr>
    </w:lvl>
    <w:lvl w:ilvl="1" w:tplc="0409000B" w:tentative="1">
      <w:start w:val="1"/>
      <w:numFmt w:val="bullet"/>
      <w:lvlText w:val=""/>
      <w:lvlJc w:val="left"/>
      <w:pPr>
        <w:ind w:left="2221" w:hanging="420"/>
      </w:pPr>
      <w:rPr>
        <w:rFonts w:ascii="Wingdings" w:hAnsi="Wingdings" w:hint="default"/>
      </w:rPr>
    </w:lvl>
    <w:lvl w:ilvl="2" w:tplc="0409000D" w:tentative="1">
      <w:start w:val="1"/>
      <w:numFmt w:val="bullet"/>
      <w:lvlText w:val=""/>
      <w:lvlJc w:val="left"/>
      <w:pPr>
        <w:ind w:left="2641" w:hanging="420"/>
      </w:pPr>
      <w:rPr>
        <w:rFonts w:ascii="Wingdings" w:hAnsi="Wingdings" w:hint="default"/>
      </w:rPr>
    </w:lvl>
    <w:lvl w:ilvl="3" w:tplc="04090001" w:tentative="1">
      <w:start w:val="1"/>
      <w:numFmt w:val="bullet"/>
      <w:lvlText w:val=""/>
      <w:lvlJc w:val="left"/>
      <w:pPr>
        <w:ind w:left="3061" w:hanging="420"/>
      </w:pPr>
      <w:rPr>
        <w:rFonts w:ascii="Wingdings" w:hAnsi="Wingdings" w:hint="default"/>
      </w:rPr>
    </w:lvl>
    <w:lvl w:ilvl="4" w:tplc="0409000B" w:tentative="1">
      <w:start w:val="1"/>
      <w:numFmt w:val="bullet"/>
      <w:lvlText w:val=""/>
      <w:lvlJc w:val="left"/>
      <w:pPr>
        <w:ind w:left="3481" w:hanging="420"/>
      </w:pPr>
      <w:rPr>
        <w:rFonts w:ascii="Wingdings" w:hAnsi="Wingdings" w:hint="default"/>
      </w:rPr>
    </w:lvl>
    <w:lvl w:ilvl="5" w:tplc="0409000D" w:tentative="1">
      <w:start w:val="1"/>
      <w:numFmt w:val="bullet"/>
      <w:lvlText w:val=""/>
      <w:lvlJc w:val="left"/>
      <w:pPr>
        <w:ind w:left="3901" w:hanging="420"/>
      </w:pPr>
      <w:rPr>
        <w:rFonts w:ascii="Wingdings" w:hAnsi="Wingdings" w:hint="default"/>
      </w:rPr>
    </w:lvl>
    <w:lvl w:ilvl="6" w:tplc="04090001" w:tentative="1">
      <w:start w:val="1"/>
      <w:numFmt w:val="bullet"/>
      <w:lvlText w:val=""/>
      <w:lvlJc w:val="left"/>
      <w:pPr>
        <w:ind w:left="4321" w:hanging="420"/>
      </w:pPr>
      <w:rPr>
        <w:rFonts w:ascii="Wingdings" w:hAnsi="Wingdings" w:hint="default"/>
      </w:rPr>
    </w:lvl>
    <w:lvl w:ilvl="7" w:tplc="0409000B" w:tentative="1">
      <w:start w:val="1"/>
      <w:numFmt w:val="bullet"/>
      <w:lvlText w:val=""/>
      <w:lvlJc w:val="left"/>
      <w:pPr>
        <w:ind w:left="4741" w:hanging="420"/>
      </w:pPr>
      <w:rPr>
        <w:rFonts w:ascii="Wingdings" w:hAnsi="Wingdings" w:hint="default"/>
      </w:rPr>
    </w:lvl>
    <w:lvl w:ilvl="8" w:tplc="0409000D" w:tentative="1">
      <w:start w:val="1"/>
      <w:numFmt w:val="bullet"/>
      <w:lvlText w:val=""/>
      <w:lvlJc w:val="left"/>
      <w:pPr>
        <w:ind w:left="5161" w:hanging="420"/>
      </w:pPr>
      <w:rPr>
        <w:rFonts w:ascii="Wingdings" w:hAnsi="Wingdings" w:hint="default"/>
      </w:rPr>
    </w:lvl>
  </w:abstractNum>
  <w:abstractNum w:abstractNumId="1" w15:restartNumberingAfterBreak="0">
    <w:nsid w:val="0983108A"/>
    <w:multiLevelType w:val="hybridMultilevel"/>
    <w:tmpl w:val="D25C942A"/>
    <w:lvl w:ilvl="0" w:tplc="53069B8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15:restartNumberingAfterBreak="0">
    <w:nsid w:val="12FF048C"/>
    <w:multiLevelType w:val="hybridMultilevel"/>
    <w:tmpl w:val="443AF552"/>
    <w:lvl w:ilvl="0" w:tplc="4F70FD34">
      <w:start w:val="1"/>
      <w:numFmt w:val="decimalFullWidth"/>
      <w:lvlText w:val="%1．"/>
      <w:lvlJc w:val="left"/>
      <w:pPr>
        <w:tabs>
          <w:tab w:val="num" w:pos="631"/>
        </w:tabs>
        <w:ind w:left="631" w:hanging="4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183D1EA0"/>
    <w:multiLevelType w:val="hybridMultilevel"/>
    <w:tmpl w:val="4C34DE8A"/>
    <w:lvl w:ilvl="0" w:tplc="ADAE5D4A">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 w15:restartNumberingAfterBreak="0">
    <w:nsid w:val="183F6332"/>
    <w:multiLevelType w:val="hybridMultilevel"/>
    <w:tmpl w:val="5B3C8E36"/>
    <w:lvl w:ilvl="0" w:tplc="1634391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24176"/>
    <w:multiLevelType w:val="hybridMultilevel"/>
    <w:tmpl w:val="7E608BBC"/>
    <w:lvl w:ilvl="0" w:tplc="46221CA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21C37B6C"/>
    <w:multiLevelType w:val="hybridMultilevel"/>
    <w:tmpl w:val="1B8E9356"/>
    <w:lvl w:ilvl="0" w:tplc="52620B18">
      <w:start w:val="1"/>
      <w:numFmt w:val="bullet"/>
      <w:lvlText w:val="・"/>
      <w:lvlJc w:val="left"/>
      <w:pPr>
        <w:tabs>
          <w:tab w:val="num" w:pos="1726"/>
        </w:tabs>
        <w:ind w:left="1726" w:hanging="360"/>
      </w:pPr>
      <w:rPr>
        <w:rFonts w:ascii="ＭＳ 明朝" w:eastAsia="ＭＳ 明朝" w:hAnsi="ＭＳ 明朝" w:cs="Times New Roman" w:hint="eastAsia"/>
      </w:rPr>
    </w:lvl>
    <w:lvl w:ilvl="1" w:tplc="0409000B" w:tentative="1">
      <w:start w:val="1"/>
      <w:numFmt w:val="bullet"/>
      <w:lvlText w:val=""/>
      <w:lvlJc w:val="left"/>
      <w:pPr>
        <w:tabs>
          <w:tab w:val="num" w:pos="2206"/>
        </w:tabs>
        <w:ind w:left="2206" w:hanging="420"/>
      </w:pPr>
      <w:rPr>
        <w:rFonts w:ascii="Wingdings" w:hAnsi="Wingdings" w:hint="default"/>
      </w:rPr>
    </w:lvl>
    <w:lvl w:ilvl="2" w:tplc="0409000D" w:tentative="1">
      <w:start w:val="1"/>
      <w:numFmt w:val="bullet"/>
      <w:lvlText w:val=""/>
      <w:lvlJc w:val="left"/>
      <w:pPr>
        <w:tabs>
          <w:tab w:val="num" w:pos="2626"/>
        </w:tabs>
        <w:ind w:left="2626" w:hanging="420"/>
      </w:pPr>
      <w:rPr>
        <w:rFonts w:ascii="Wingdings" w:hAnsi="Wingdings" w:hint="default"/>
      </w:rPr>
    </w:lvl>
    <w:lvl w:ilvl="3" w:tplc="04090001" w:tentative="1">
      <w:start w:val="1"/>
      <w:numFmt w:val="bullet"/>
      <w:lvlText w:val=""/>
      <w:lvlJc w:val="left"/>
      <w:pPr>
        <w:tabs>
          <w:tab w:val="num" w:pos="3046"/>
        </w:tabs>
        <w:ind w:left="3046" w:hanging="420"/>
      </w:pPr>
      <w:rPr>
        <w:rFonts w:ascii="Wingdings" w:hAnsi="Wingdings" w:hint="default"/>
      </w:rPr>
    </w:lvl>
    <w:lvl w:ilvl="4" w:tplc="0409000B" w:tentative="1">
      <w:start w:val="1"/>
      <w:numFmt w:val="bullet"/>
      <w:lvlText w:val=""/>
      <w:lvlJc w:val="left"/>
      <w:pPr>
        <w:tabs>
          <w:tab w:val="num" w:pos="3466"/>
        </w:tabs>
        <w:ind w:left="3466" w:hanging="420"/>
      </w:pPr>
      <w:rPr>
        <w:rFonts w:ascii="Wingdings" w:hAnsi="Wingdings" w:hint="default"/>
      </w:rPr>
    </w:lvl>
    <w:lvl w:ilvl="5" w:tplc="0409000D" w:tentative="1">
      <w:start w:val="1"/>
      <w:numFmt w:val="bullet"/>
      <w:lvlText w:val=""/>
      <w:lvlJc w:val="left"/>
      <w:pPr>
        <w:tabs>
          <w:tab w:val="num" w:pos="3886"/>
        </w:tabs>
        <w:ind w:left="3886" w:hanging="420"/>
      </w:pPr>
      <w:rPr>
        <w:rFonts w:ascii="Wingdings" w:hAnsi="Wingdings" w:hint="default"/>
      </w:rPr>
    </w:lvl>
    <w:lvl w:ilvl="6" w:tplc="04090001" w:tentative="1">
      <w:start w:val="1"/>
      <w:numFmt w:val="bullet"/>
      <w:lvlText w:val=""/>
      <w:lvlJc w:val="left"/>
      <w:pPr>
        <w:tabs>
          <w:tab w:val="num" w:pos="4306"/>
        </w:tabs>
        <w:ind w:left="4306" w:hanging="420"/>
      </w:pPr>
      <w:rPr>
        <w:rFonts w:ascii="Wingdings" w:hAnsi="Wingdings" w:hint="default"/>
      </w:rPr>
    </w:lvl>
    <w:lvl w:ilvl="7" w:tplc="0409000B" w:tentative="1">
      <w:start w:val="1"/>
      <w:numFmt w:val="bullet"/>
      <w:lvlText w:val=""/>
      <w:lvlJc w:val="left"/>
      <w:pPr>
        <w:tabs>
          <w:tab w:val="num" w:pos="4726"/>
        </w:tabs>
        <w:ind w:left="4726" w:hanging="420"/>
      </w:pPr>
      <w:rPr>
        <w:rFonts w:ascii="Wingdings" w:hAnsi="Wingdings" w:hint="default"/>
      </w:rPr>
    </w:lvl>
    <w:lvl w:ilvl="8" w:tplc="0409000D" w:tentative="1">
      <w:start w:val="1"/>
      <w:numFmt w:val="bullet"/>
      <w:lvlText w:val=""/>
      <w:lvlJc w:val="left"/>
      <w:pPr>
        <w:tabs>
          <w:tab w:val="num" w:pos="5146"/>
        </w:tabs>
        <w:ind w:left="5146" w:hanging="420"/>
      </w:pPr>
      <w:rPr>
        <w:rFonts w:ascii="Wingdings" w:hAnsi="Wingdings" w:hint="default"/>
      </w:rPr>
    </w:lvl>
  </w:abstractNum>
  <w:abstractNum w:abstractNumId="7" w15:restartNumberingAfterBreak="0">
    <w:nsid w:val="2B6618A7"/>
    <w:multiLevelType w:val="hybridMultilevel"/>
    <w:tmpl w:val="FB2210D6"/>
    <w:lvl w:ilvl="0" w:tplc="C38A2BB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2BC90C4A"/>
    <w:multiLevelType w:val="hybridMultilevel"/>
    <w:tmpl w:val="0A548D60"/>
    <w:lvl w:ilvl="0" w:tplc="71123364">
      <w:start w:val="1"/>
      <w:numFmt w:val="bullet"/>
      <w:lvlText w:val="※"/>
      <w:lvlJc w:val="left"/>
      <w:pPr>
        <w:ind w:left="779" w:hanging="360"/>
      </w:pPr>
      <w:rPr>
        <w:rFonts w:ascii="ＭＳ 明朝" w:eastAsia="ＭＳ 明朝" w:hAnsi="ＭＳ 明朝"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9" w15:restartNumberingAfterBreak="0">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0" w15:restartNumberingAfterBreak="0">
    <w:nsid w:val="2F3D67FC"/>
    <w:multiLevelType w:val="hybridMultilevel"/>
    <w:tmpl w:val="4FF4A936"/>
    <w:lvl w:ilvl="0" w:tplc="3E187238">
      <w:start w:val="1"/>
      <w:numFmt w:val="decimal"/>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309F0639"/>
    <w:multiLevelType w:val="hybridMultilevel"/>
    <w:tmpl w:val="63B207C4"/>
    <w:lvl w:ilvl="0" w:tplc="0F688B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3" w15:restartNumberingAfterBreak="0">
    <w:nsid w:val="3A7F60CD"/>
    <w:multiLevelType w:val="hybridMultilevel"/>
    <w:tmpl w:val="47FE4C00"/>
    <w:lvl w:ilvl="0" w:tplc="5FE89CC2">
      <w:start w:val="2"/>
      <w:numFmt w:val="bullet"/>
      <w:lvlText w:val="※"/>
      <w:lvlJc w:val="left"/>
      <w:pPr>
        <w:ind w:left="5460" w:hanging="360"/>
      </w:pPr>
      <w:rPr>
        <w:rFonts w:ascii="ＭＳ 明朝" w:eastAsia="ＭＳ 明朝" w:hAnsi="ＭＳ 明朝" w:cs="Times New Roman" w:hint="eastAsia"/>
      </w:rPr>
    </w:lvl>
    <w:lvl w:ilvl="1" w:tplc="0409000B" w:tentative="1">
      <w:start w:val="1"/>
      <w:numFmt w:val="bullet"/>
      <w:lvlText w:val=""/>
      <w:lvlJc w:val="left"/>
      <w:pPr>
        <w:ind w:left="5940" w:hanging="420"/>
      </w:pPr>
      <w:rPr>
        <w:rFonts w:ascii="Wingdings" w:hAnsi="Wingdings" w:hint="default"/>
      </w:rPr>
    </w:lvl>
    <w:lvl w:ilvl="2" w:tplc="0409000D" w:tentative="1">
      <w:start w:val="1"/>
      <w:numFmt w:val="bullet"/>
      <w:lvlText w:val=""/>
      <w:lvlJc w:val="left"/>
      <w:pPr>
        <w:ind w:left="6360" w:hanging="420"/>
      </w:pPr>
      <w:rPr>
        <w:rFonts w:ascii="Wingdings" w:hAnsi="Wingdings" w:hint="default"/>
      </w:rPr>
    </w:lvl>
    <w:lvl w:ilvl="3" w:tplc="04090001" w:tentative="1">
      <w:start w:val="1"/>
      <w:numFmt w:val="bullet"/>
      <w:lvlText w:val=""/>
      <w:lvlJc w:val="left"/>
      <w:pPr>
        <w:ind w:left="6780" w:hanging="420"/>
      </w:pPr>
      <w:rPr>
        <w:rFonts w:ascii="Wingdings" w:hAnsi="Wingdings" w:hint="default"/>
      </w:rPr>
    </w:lvl>
    <w:lvl w:ilvl="4" w:tplc="0409000B" w:tentative="1">
      <w:start w:val="1"/>
      <w:numFmt w:val="bullet"/>
      <w:lvlText w:val=""/>
      <w:lvlJc w:val="left"/>
      <w:pPr>
        <w:ind w:left="7200" w:hanging="420"/>
      </w:pPr>
      <w:rPr>
        <w:rFonts w:ascii="Wingdings" w:hAnsi="Wingdings" w:hint="default"/>
      </w:rPr>
    </w:lvl>
    <w:lvl w:ilvl="5" w:tplc="0409000D" w:tentative="1">
      <w:start w:val="1"/>
      <w:numFmt w:val="bullet"/>
      <w:lvlText w:val=""/>
      <w:lvlJc w:val="left"/>
      <w:pPr>
        <w:ind w:left="7620" w:hanging="420"/>
      </w:pPr>
      <w:rPr>
        <w:rFonts w:ascii="Wingdings" w:hAnsi="Wingdings" w:hint="default"/>
      </w:rPr>
    </w:lvl>
    <w:lvl w:ilvl="6" w:tplc="04090001" w:tentative="1">
      <w:start w:val="1"/>
      <w:numFmt w:val="bullet"/>
      <w:lvlText w:val=""/>
      <w:lvlJc w:val="left"/>
      <w:pPr>
        <w:ind w:left="8040" w:hanging="420"/>
      </w:pPr>
      <w:rPr>
        <w:rFonts w:ascii="Wingdings" w:hAnsi="Wingdings" w:hint="default"/>
      </w:rPr>
    </w:lvl>
    <w:lvl w:ilvl="7" w:tplc="0409000B" w:tentative="1">
      <w:start w:val="1"/>
      <w:numFmt w:val="bullet"/>
      <w:lvlText w:val=""/>
      <w:lvlJc w:val="left"/>
      <w:pPr>
        <w:ind w:left="8460" w:hanging="420"/>
      </w:pPr>
      <w:rPr>
        <w:rFonts w:ascii="Wingdings" w:hAnsi="Wingdings" w:hint="default"/>
      </w:rPr>
    </w:lvl>
    <w:lvl w:ilvl="8" w:tplc="0409000D" w:tentative="1">
      <w:start w:val="1"/>
      <w:numFmt w:val="bullet"/>
      <w:lvlText w:val=""/>
      <w:lvlJc w:val="left"/>
      <w:pPr>
        <w:ind w:left="8880" w:hanging="420"/>
      </w:pPr>
      <w:rPr>
        <w:rFonts w:ascii="Wingdings" w:hAnsi="Wingdings" w:hint="default"/>
      </w:rPr>
    </w:lvl>
  </w:abstractNum>
  <w:abstractNum w:abstractNumId="14" w15:restartNumberingAfterBreak="0">
    <w:nsid w:val="3E377F73"/>
    <w:multiLevelType w:val="hybridMultilevel"/>
    <w:tmpl w:val="8A86E20A"/>
    <w:lvl w:ilvl="0" w:tplc="7856F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D329C"/>
    <w:multiLevelType w:val="hybridMultilevel"/>
    <w:tmpl w:val="3AC87788"/>
    <w:lvl w:ilvl="0" w:tplc="8F38E6C8">
      <w:start w:val="1"/>
      <w:numFmt w:val="irohaFullWidth"/>
      <w:lvlText w:val="%1．"/>
      <w:lvlJc w:val="left"/>
      <w:pPr>
        <w:ind w:left="885" w:hanging="450"/>
      </w:pPr>
      <w:rPr>
        <w:rFonts w:hint="default"/>
      </w:rPr>
    </w:lvl>
    <w:lvl w:ilvl="1" w:tplc="8F38E6C8">
      <w:start w:val="1"/>
      <w:numFmt w:val="irohaFullWidth"/>
      <w:lvlText w:val="%2．"/>
      <w:lvlJc w:val="left"/>
      <w:pPr>
        <w:ind w:left="1215" w:hanging="360"/>
      </w:pPr>
      <w:rPr>
        <w:rFonts w:hint="default"/>
      </w:rPr>
    </w:lvl>
    <w:lvl w:ilvl="2" w:tplc="084A765C">
      <w:start w:val="1"/>
      <w:numFmt w:val="decimalEnclosedCircle"/>
      <w:lvlText w:val="%3"/>
      <w:lvlJc w:val="left"/>
      <w:pPr>
        <w:ind w:left="1635" w:hanging="360"/>
      </w:pPr>
      <w:rPr>
        <w:rFonts w:hint="default"/>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458308A8"/>
    <w:multiLevelType w:val="hybridMultilevel"/>
    <w:tmpl w:val="786EA6E2"/>
    <w:lvl w:ilvl="0" w:tplc="FC922658">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7" w15:restartNumberingAfterBreak="0">
    <w:nsid w:val="45B15BC2"/>
    <w:multiLevelType w:val="hybridMultilevel"/>
    <w:tmpl w:val="9C04DAE0"/>
    <w:lvl w:ilvl="0" w:tplc="1C764D68">
      <w:start w:val="2"/>
      <w:numFmt w:val="decimalFullWidth"/>
      <w:lvlText w:val="（%1）"/>
      <w:lvlJc w:val="left"/>
      <w:pPr>
        <w:ind w:left="720" w:hanging="720"/>
      </w:pPr>
      <w:rPr>
        <w:rFonts w:hint="default"/>
      </w:rPr>
    </w:lvl>
    <w:lvl w:ilvl="1" w:tplc="7756A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4C2D5A"/>
    <w:multiLevelType w:val="hybridMultilevel"/>
    <w:tmpl w:val="3386E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67887"/>
    <w:multiLevelType w:val="hybridMultilevel"/>
    <w:tmpl w:val="E3389696"/>
    <w:lvl w:ilvl="0" w:tplc="4ADE9822">
      <w:start w:val="3"/>
      <w:numFmt w:val="bullet"/>
      <w:lvlText w:val="※"/>
      <w:lvlJc w:val="left"/>
      <w:pPr>
        <w:ind w:left="1407" w:hanging="360"/>
      </w:pPr>
      <w:rPr>
        <w:rFonts w:ascii="ＭＳ 明朝" w:eastAsia="ＭＳ 明朝" w:hAnsi="ＭＳ 明朝" w:cs="Times New Roman" w:hint="eastAsia"/>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20" w15:restartNumberingAfterBreak="0">
    <w:nsid w:val="55630755"/>
    <w:multiLevelType w:val="hybridMultilevel"/>
    <w:tmpl w:val="F63CFAAC"/>
    <w:lvl w:ilvl="0" w:tplc="3BDCE410">
      <w:start w:val="1"/>
      <w:numFmt w:val="aiueo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57C203AA"/>
    <w:multiLevelType w:val="hybridMultilevel"/>
    <w:tmpl w:val="927292E0"/>
    <w:lvl w:ilvl="0" w:tplc="B34E5D1C">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2" w15:restartNumberingAfterBreak="0">
    <w:nsid w:val="61DA4082"/>
    <w:multiLevelType w:val="hybridMultilevel"/>
    <w:tmpl w:val="E748628E"/>
    <w:lvl w:ilvl="0" w:tplc="33827986">
      <w:start w:val="2"/>
      <w:numFmt w:val="decimalEnclosedCircle"/>
      <w:lvlText w:val="%1"/>
      <w:lvlJc w:val="left"/>
      <w:pPr>
        <w:ind w:left="783" w:hanging="360"/>
      </w:pPr>
      <w:rPr>
        <w:rFonts w:hint="default"/>
      </w:rPr>
    </w:lvl>
    <w:lvl w:ilvl="1" w:tplc="3B102736">
      <w:start w:val="1"/>
      <w:numFmt w:val="aiueoFullWidth"/>
      <w:lvlText w:val="%2．"/>
      <w:lvlJc w:val="left"/>
      <w:pPr>
        <w:ind w:left="1293" w:hanging="450"/>
      </w:pPr>
      <w:rPr>
        <w:rFonts w:hint="default"/>
      </w:r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3" w15:restartNumberingAfterBreak="0">
    <w:nsid w:val="6BBC624E"/>
    <w:multiLevelType w:val="hybridMultilevel"/>
    <w:tmpl w:val="CDBAEA48"/>
    <w:lvl w:ilvl="0" w:tplc="24C87340">
      <w:start w:val="1"/>
      <w:numFmt w:val="irohaFullWidth"/>
      <w:lvlText w:val="%1．"/>
      <w:lvlJc w:val="left"/>
      <w:pPr>
        <w:ind w:left="873" w:hanging="45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4" w15:restartNumberingAfterBreak="0">
    <w:nsid w:val="712268B3"/>
    <w:multiLevelType w:val="hybridMultilevel"/>
    <w:tmpl w:val="D5803844"/>
    <w:lvl w:ilvl="0" w:tplc="D96A4D4C">
      <w:start w:val="2"/>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5" w15:restartNumberingAfterBreak="0">
    <w:nsid w:val="7946513D"/>
    <w:multiLevelType w:val="hybridMultilevel"/>
    <w:tmpl w:val="56207802"/>
    <w:lvl w:ilvl="0" w:tplc="1BD2D21E">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6" w15:restartNumberingAfterBreak="0">
    <w:nsid w:val="799639A6"/>
    <w:multiLevelType w:val="hybridMultilevel"/>
    <w:tmpl w:val="462A4F60"/>
    <w:lvl w:ilvl="0" w:tplc="1F70916C">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8"/>
  </w:num>
  <w:num w:numId="2">
    <w:abstractNumId w:val="8"/>
  </w:num>
  <w:num w:numId="3">
    <w:abstractNumId w:val="13"/>
  </w:num>
  <w:num w:numId="4">
    <w:abstractNumId w:val="0"/>
  </w:num>
  <w:num w:numId="5">
    <w:abstractNumId w:val="19"/>
  </w:num>
  <w:num w:numId="6">
    <w:abstractNumId w:val="2"/>
  </w:num>
  <w:num w:numId="7">
    <w:abstractNumId w:val="6"/>
  </w:num>
  <w:num w:numId="8">
    <w:abstractNumId w:val="15"/>
  </w:num>
  <w:num w:numId="9">
    <w:abstractNumId w:val="23"/>
  </w:num>
  <w:num w:numId="10">
    <w:abstractNumId w:val="20"/>
  </w:num>
  <w:num w:numId="11">
    <w:abstractNumId w:val="3"/>
  </w:num>
  <w:num w:numId="12">
    <w:abstractNumId w:val="22"/>
  </w:num>
  <w:num w:numId="13">
    <w:abstractNumId w:val="24"/>
  </w:num>
  <w:num w:numId="14">
    <w:abstractNumId w:val="21"/>
  </w:num>
  <w:num w:numId="15">
    <w:abstractNumId w:val="26"/>
  </w:num>
  <w:num w:numId="16">
    <w:abstractNumId w:val="17"/>
  </w:num>
  <w:num w:numId="17">
    <w:abstractNumId w:val="16"/>
  </w:num>
  <w:num w:numId="18">
    <w:abstractNumId w:val="25"/>
  </w:num>
  <w:num w:numId="19">
    <w:abstractNumId w:val="10"/>
  </w:num>
  <w:num w:numId="20">
    <w:abstractNumId w:val="14"/>
  </w:num>
  <w:num w:numId="21">
    <w:abstractNumId w:val="11"/>
  </w:num>
  <w:num w:numId="22">
    <w:abstractNumId w:val="7"/>
  </w:num>
  <w:num w:numId="23">
    <w:abstractNumId w:val="12"/>
  </w:num>
  <w:num w:numId="24">
    <w:abstractNumId w:val="9"/>
  </w:num>
  <w:num w:numId="25">
    <w:abstractNumId w:val="5"/>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75"/>
  <w:displayHorizontalDrawingGridEvery w:val="0"/>
  <w:characterSpacingControl w:val="compressPunctuation"/>
  <w:hdrShapeDefaults>
    <o:shapedefaults v:ext="edit" spidmax="19457"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fill="f" fillcolor="white">
      <v:fill color="white" on="f"/>
      <v:stroke weight="1pt"/>
      <v:textbox inset="5.85pt,.7pt,5.85pt,.7pt"/>
    </o:shapedefaults>
    <o:shapelayout v:ext="edit">
      <o:idmap v:ext="edit" data="1"/>
    </o:shapelayout>
  </w:shapeDefaults>
  <w:decimalSymbol w:val="."/>
  <w:listSeparator w:val=","/>
  <w15:chartTrackingRefBased/>
  <w15:docId w15:val="{7E237A80-B9D5-4E9A-95E2-63CF83C8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unhideWhenUsed/>
    <w:pPr>
      <w:tabs>
        <w:tab w:val="center" w:pos="4252"/>
        <w:tab w:val="right" w:pos="8504"/>
      </w:tabs>
      <w:snapToGrid w:val="0"/>
    </w:pPr>
  </w:style>
  <w:style w:type="character" w:customStyle="1" w:styleId="2">
    <w:name w:val="(文字) (文字)2"/>
    <w:rPr>
      <w:kern w:val="2"/>
      <w:sz w:val="21"/>
      <w:szCs w:val="22"/>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emiHidden/>
    <w:unhideWhenUsed/>
  </w:style>
  <w:style w:type="character" w:customStyle="1" w:styleId="1">
    <w:name w:val="(文字) (文字)1"/>
    <w:semiHidden/>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文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857B-A385-4AAC-B35C-10CC7EC0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subject/>
  <dc:creator>青森県</dc:creator>
  <cp:keywords/>
  <cp:lastModifiedBy>政策企画部情報システム課</cp:lastModifiedBy>
  <cp:revision>11</cp:revision>
  <cp:lastPrinted>2019-03-25T10:52:00Z</cp:lastPrinted>
  <dcterms:created xsi:type="dcterms:W3CDTF">2019-03-22T09:41:00Z</dcterms:created>
  <dcterms:modified xsi:type="dcterms:W3CDTF">2022-03-25T09:26:00Z</dcterms:modified>
</cp:coreProperties>
</file>